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16F6" w14:textId="77777777"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14:paraId="1334B0B7" w14:textId="77777777"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14:paraId="676C0BAF" w14:textId="77777777"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14:paraId="66E2A106" w14:textId="77777777"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14:paraId="1F484843" w14:textId="77777777"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14:paraId="3308F28E" w14:textId="77777777"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14:paraId="1807E237" w14:textId="6A498DDD" w:rsidR="007740B3" w:rsidRPr="007740B3" w:rsidRDefault="000724EA" w:rsidP="007740B3">
      <w:pPr>
        <w:keepNext/>
        <w:keepLines/>
        <w:ind w:left="1134" w:hanging="567"/>
        <w:jc w:val="both"/>
        <w:rPr>
          <w:rFonts w:ascii="Times New Roman" w:hAnsi="Times New Roman"/>
          <w:sz w:val="24"/>
          <w:szCs w:val="22"/>
        </w:rPr>
      </w:pPr>
      <w:r w:rsidRPr="003D6B6C">
        <w:rPr>
          <w:rFonts w:ascii="Times New Roman" w:hAnsi="Times New Roman"/>
          <w:sz w:val="22"/>
          <w:szCs w:val="22"/>
        </w:rPr>
        <w:t>4.1</w:t>
      </w:r>
      <w:r w:rsidRPr="003D6B6C">
        <w:rPr>
          <w:rFonts w:ascii="Times New Roman" w:hAnsi="Times New Roman"/>
          <w:sz w:val="22"/>
          <w:szCs w:val="22"/>
        </w:rPr>
        <w:tab/>
      </w:r>
      <w:r w:rsidR="007740B3" w:rsidRPr="007740B3">
        <w:rPr>
          <w:rFonts w:ascii="Times New Roman" w:hAnsi="Times New Roman"/>
          <w:sz w:val="22"/>
        </w:rPr>
        <w:t>Any written communication relating to this Contract between the Contracting Authority and/or the Project Manager, on the one hand, and the Contractor on the other must state the Contract title and identification number, and must be sent by post, fax, e-mail or by hand.</w:t>
      </w:r>
    </w:p>
    <w:p w14:paraId="22703A94" w14:textId="0D6A3CF9" w:rsidR="009B7E82" w:rsidRDefault="000E78C2" w:rsidP="004F7A0E">
      <w:pPr>
        <w:ind w:left="1134" w:hanging="567"/>
        <w:rPr>
          <w:rFonts w:ascii="Times New Roman" w:hAnsi="Times New Roman"/>
          <w:i/>
          <w:snapToGrid/>
          <w:sz w:val="22"/>
          <w:szCs w:val="22"/>
          <w:lang w:eastAsia="en-GB"/>
        </w:rPr>
      </w:pPr>
      <w:r w:rsidRPr="009B7E82">
        <w:rPr>
          <w:rFonts w:ascii="Times New Roman" w:hAnsi="Times New Roman"/>
          <w:i/>
          <w:snapToGrid/>
          <w:sz w:val="22"/>
          <w:szCs w:val="22"/>
          <w:lang w:eastAsia="en-GB"/>
        </w:rPr>
        <w:t>Contact details for the Contracting Authority:</w:t>
      </w:r>
    </w:p>
    <w:p w14:paraId="7C323902" w14:textId="77777777" w:rsidR="000E78C2" w:rsidRPr="009B7E82" w:rsidRDefault="000E78C2" w:rsidP="000E78C2">
      <w:pPr>
        <w:spacing w:before="0" w:after="0"/>
        <w:ind w:firstLine="567"/>
        <w:jc w:val="both"/>
        <w:rPr>
          <w:rFonts w:ascii="Times New Roman" w:hAnsi="Times New Roman"/>
          <w:snapToGrid/>
          <w:sz w:val="22"/>
          <w:szCs w:val="22"/>
          <w:lang w:eastAsia="en-GB"/>
        </w:rPr>
      </w:pPr>
      <w:bookmarkStart w:id="3" w:name="_Hlk112619064"/>
      <w:r w:rsidRPr="009B7E82">
        <w:rPr>
          <w:rFonts w:ascii="Times New Roman" w:hAnsi="Times New Roman"/>
          <w:snapToGrid/>
          <w:color w:val="000000"/>
          <w:sz w:val="22"/>
          <w:szCs w:val="22"/>
          <w:lang w:eastAsia="en-GB"/>
        </w:rPr>
        <w:t>Military academy „General Mihailo Apostolski “– Skopje</w:t>
      </w:r>
      <w:r w:rsidRPr="009B7E82">
        <w:rPr>
          <w:rFonts w:ascii="Times New Roman" w:hAnsi="Times New Roman"/>
          <w:snapToGrid/>
          <w:sz w:val="22"/>
          <w:szCs w:val="22"/>
          <w:lang w:eastAsia="en-GB"/>
        </w:rPr>
        <w:t xml:space="preserve"> </w:t>
      </w:r>
    </w:p>
    <w:bookmarkEnd w:id="3"/>
    <w:p w14:paraId="2DC20587" w14:textId="77777777" w:rsidR="000E78C2" w:rsidRPr="009B7E82" w:rsidRDefault="000E78C2" w:rsidP="000E78C2">
      <w:pPr>
        <w:spacing w:before="0" w:after="0"/>
        <w:ind w:firstLine="567"/>
        <w:jc w:val="both"/>
        <w:rPr>
          <w:rFonts w:ascii="Times New Roman" w:hAnsi="Times New Roman"/>
          <w:snapToGrid/>
          <w:sz w:val="22"/>
          <w:szCs w:val="22"/>
          <w:lang w:eastAsia="en-GB"/>
        </w:rPr>
      </w:pPr>
      <w:r w:rsidRPr="009B7E82">
        <w:rPr>
          <w:rFonts w:ascii="Times New Roman" w:hAnsi="Times New Roman"/>
          <w:snapToGrid/>
          <w:color w:val="000000"/>
          <w:sz w:val="22"/>
          <w:szCs w:val="22"/>
          <w:lang w:eastAsia="en-GB"/>
        </w:rPr>
        <w:t>Str. Vasko Karangeleski BB, 1000, Skopje</w:t>
      </w:r>
    </w:p>
    <w:p w14:paraId="075AD301" w14:textId="77777777" w:rsidR="000E78C2" w:rsidRPr="009B7E82" w:rsidRDefault="000E78C2" w:rsidP="000E78C2">
      <w:pPr>
        <w:keepNext/>
        <w:keepLines/>
        <w:spacing w:before="0" w:after="0"/>
        <w:jc w:val="both"/>
        <w:rPr>
          <w:rFonts w:ascii="Times New Roman" w:hAnsi="Times New Roman"/>
          <w:snapToGrid/>
          <w:sz w:val="22"/>
          <w:szCs w:val="22"/>
          <w:lang w:eastAsia="en-GB"/>
        </w:rPr>
      </w:pPr>
    </w:p>
    <w:p w14:paraId="425D815D" w14:textId="1807F02F" w:rsidR="000E78C2" w:rsidRPr="009B7E82" w:rsidRDefault="000E78C2" w:rsidP="000E78C2">
      <w:pPr>
        <w:keepNext/>
        <w:keepLines/>
        <w:spacing w:before="0" w:after="0"/>
        <w:ind w:firstLine="567"/>
        <w:jc w:val="both"/>
        <w:rPr>
          <w:rFonts w:ascii="Times New Roman" w:hAnsi="Times New Roman"/>
          <w:snapToGrid/>
          <w:color w:val="000000"/>
          <w:sz w:val="22"/>
          <w:szCs w:val="22"/>
          <w:lang w:eastAsia="en-GB"/>
        </w:rPr>
      </w:pPr>
      <w:r w:rsidRPr="009B7E82">
        <w:rPr>
          <w:rFonts w:ascii="Times New Roman" w:hAnsi="Times New Roman"/>
          <w:snapToGrid/>
          <w:color w:val="000000"/>
          <w:sz w:val="22"/>
          <w:szCs w:val="22"/>
          <w:lang w:eastAsia="en-GB"/>
        </w:rPr>
        <w:t xml:space="preserve">+389 78 </w:t>
      </w:r>
      <w:r w:rsidR="006E245B">
        <w:rPr>
          <w:rFonts w:ascii="Times New Roman" w:hAnsi="Times New Roman"/>
          <w:snapToGrid/>
          <w:color w:val="000000"/>
          <w:sz w:val="22"/>
          <w:szCs w:val="22"/>
          <w:lang w:eastAsia="en-GB"/>
        </w:rPr>
        <w:t>415 995</w:t>
      </w:r>
    </w:p>
    <w:p w14:paraId="1838A8E0" w14:textId="14D89E95" w:rsidR="000E78C2" w:rsidRPr="009B7E82" w:rsidRDefault="000E78C2" w:rsidP="000E78C2">
      <w:pPr>
        <w:keepNext/>
        <w:keepLines/>
        <w:spacing w:before="0" w:after="0"/>
        <w:ind w:firstLine="567"/>
        <w:jc w:val="both"/>
        <w:rPr>
          <w:rFonts w:ascii="Times New Roman" w:hAnsi="Times New Roman"/>
          <w:snapToGrid/>
          <w:sz w:val="22"/>
          <w:szCs w:val="22"/>
          <w:lang w:eastAsia="en-GB"/>
        </w:rPr>
      </w:pPr>
      <w:r w:rsidRPr="009B7E82">
        <w:rPr>
          <w:rFonts w:ascii="Times New Roman" w:hAnsi="Times New Roman"/>
          <w:snapToGrid/>
          <w:color w:val="000000"/>
          <w:sz w:val="22"/>
          <w:szCs w:val="22"/>
          <w:lang w:eastAsia="en-GB"/>
        </w:rPr>
        <w:t xml:space="preserve">MSc. </w:t>
      </w:r>
      <w:r w:rsidR="006E245B">
        <w:rPr>
          <w:rFonts w:ascii="Times New Roman" w:hAnsi="Times New Roman"/>
          <w:snapToGrid/>
          <w:color w:val="000000"/>
          <w:sz w:val="22"/>
          <w:szCs w:val="22"/>
          <w:lang w:eastAsia="en-GB"/>
        </w:rPr>
        <w:t>Ljupcho Shosholovski</w:t>
      </w:r>
      <w:r w:rsidRPr="009B7E82">
        <w:rPr>
          <w:rFonts w:ascii="Times New Roman" w:hAnsi="Times New Roman"/>
          <w:snapToGrid/>
          <w:sz w:val="22"/>
          <w:szCs w:val="22"/>
          <w:lang w:eastAsia="en-GB"/>
        </w:rPr>
        <w:t xml:space="preserve"> </w:t>
      </w:r>
    </w:p>
    <w:p w14:paraId="50B355EB" w14:textId="77777777" w:rsidR="000E78C2" w:rsidRPr="009B7E82" w:rsidRDefault="000E78C2" w:rsidP="000E78C2">
      <w:pPr>
        <w:keepNext/>
        <w:keepLines/>
        <w:spacing w:before="0" w:after="0"/>
        <w:jc w:val="both"/>
        <w:rPr>
          <w:rFonts w:ascii="Times New Roman" w:hAnsi="Times New Roman"/>
          <w:snapToGrid/>
          <w:sz w:val="22"/>
          <w:szCs w:val="22"/>
          <w:lang w:eastAsia="en-GB"/>
        </w:rPr>
      </w:pPr>
    </w:p>
    <w:p w14:paraId="3FB1E2AA" w14:textId="77330BEE" w:rsidR="000E78C2" w:rsidRDefault="000E78C2" w:rsidP="000E78C2">
      <w:pPr>
        <w:ind w:left="1134" w:hanging="567"/>
        <w:rPr>
          <w:rFonts w:ascii="Times New Roman" w:hAnsi="Times New Roman"/>
          <w:i/>
          <w:sz w:val="22"/>
          <w:szCs w:val="22"/>
        </w:rPr>
      </w:pPr>
      <w:r>
        <w:rPr>
          <w:rFonts w:ascii="Times New Roman" w:hAnsi="Times New Roman"/>
          <w:snapToGrid/>
          <w:color w:val="000000"/>
          <w:sz w:val="22"/>
          <w:szCs w:val="22"/>
          <w:lang w:eastAsia="en-GB"/>
        </w:rPr>
        <w:t xml:space="preserve">Email: </w:t>
      </w:r>
      <w:r w:rsidR="006E245B">
        <w:rPr>
          <w:rFonts w:ascii="Times New Roman" w:hAnsi="Times New Roman"/>
          <w:snapToGrid/>
          <w:color w:val="000000"/>
          <w:sz w:val="22"/>
          <w:szCs w:val="22"/>
          <w:lang w:eastAsia="en-GB"/>
        </w:rPr>
        <w:t>ljupco.sosolovski</w:t>
      </w:r>
      <w:r w:rsidRPr="009B7E82">
        <w:rPr>
          <w:rFonts w:ascii="Times New Roman" w:hAnsi="Times New Roman"/>
          <w:snapToGrid/>
          <w:color w:val="000000"/>
          <w:sz w:val="22"/>
          <w:szCs w:val="22"/>
          <w:lang w:eastAsia="en-GB"/>
        </w:rPr>
        <w:t>@ugd.edu.mk</w:t>
      </w:r>
    </w:p>
    <w:p w14:paraId="1E08AB32" w14:textId="2F69D105" w:rsidR="000E78C2" w:rsidRDefault="000E78C2" w:rsidP="004F7A0E">
      <w:pPr>
        <w:ind w:left="1134" w:hanging="567"/>
        <w:rPr>
          <w:rFonts w:ascii="Times New Roman" w:hAnsi="Times New Roman"/>
          <w:i/>
          <w:sz w:val="22"/>
          <w:szCs w:val="22"/>
        </w:rPr>
      </w:pPr>
      <w:r w:rsidRPr="009B7E82">
        <w:rPr>
          <w:rFonts w:ascii="Times New Roman" w:hAnsi="Times New Roman"/>
          <w:i/>
          <w:snapToGrid/>
          <w:sz w:val="22"/>
          <w:szCs w:val="22"/>
          <w:lang w:eastAsia="en-GB"/>
        </w:rPr>
        <w:t>Contact details for the Contractor:</w:t>
      </w:r>
    </w:p>
    <w:p w14:paraId="60244397" w14:textId="77777777" w:rsidR="00C44168" w:rsidRPr="00C44168" w:rsidRDefault="00C44168" w:rsidP="00C44168">
      <w:pPr>
        <w:keepNext/>
        <w:keepLines/>
        <w:spacing w:after="0"/>
        <w:ind w:left="1124"/>
        <w:rPr>
          <w:rFonts w:ascii="Times New Roman" w:hAnsi="Times New Roman"/>
          <w:sz w:val="22"/>
          <w:szCs w:val="24"/>
        </w:rPr>
      </w:pPr>
      <w:r w:rsidRPr="00C44168">
        <w:rPr>
          <w:rFonts w:ascii="Times New Roman" w:hAnsi="Times New Roman"/>
          <w:sz w:val="22"/>
          <w:szCs w:val="24"/>
        </w:rPr>
        <w:t>Contact person: &lt;</w:t>
      </w:r>
      <w:r w:rsidRPr="00C44168">
        <w:rPr>
          <w:rFonts w:ascii="Times New Roman" w:hAnsi="Times New Roman"/>
          <w:color w:val="00FF00"/>
          <w:sz w:val="22"/>
          <w:szCs w:val="24"/>
          <w:highlight w:val="yellow"/>
        </w:rPr>
        <w:t xml:space="preserve"> </w:t>
      </w:r>
      <w:r w:rsidRPr="00C44168">
        <w:rPr>
          <w:rFonts w:ascii="Times New Roman" w:hAnsi="Times New Roman"/>
          <w:sz w:val="22"/>
          <w:szCs w:val="24"/>
          <w:highlight w:val="yellow"/>
        </w:rPr>
        <w:t xml:space="preserve">name </w:t>
      </w:r>
      <w:r w:rsidRPr="00C44168">
        <w:rPr>
          <w:rFonts w:ascii="Times New Roman" w:hAnsi="Times New Roman"/>
          <w:sz w:val="22"/>
          <w:szCs w:val="24"/>
        </w:rPr>
        <w:t xml:space="preserve">&gt;  </w:t>
      </w:r>
    </w:p>
    <w:p w14:paraId="6A41D37E" w14:textId="77777777" w:rsidR="00C44168" w:rsidRPr="00C44168" w:rsidRDefault="00C44168" w:rsidP="00C44168">
      <w:pPr>
        <w:keepNext/>
        <w:keepLines/>
        <w:spacing w:after="0"/>
        <w:ind w:left="1124"/>
        <w:rPr>
          <w:rFonts w:ascii="Times New Roman" w:hAnsi="Times New Roman"/>
          <w:sz w:val="22"/>
          <w:szCs w:val="24"/>
        </w:rPr>
      </w:pPr>
      <w:r w:rsidRPr="00C44168">
        <w:rPr>
          <w:rFonts w:ascii="Times New Roman" w:hAnsi="Times New Roman"/>
          <w:sz w:val="22"/>
          <w:szCs w:val="24"/>
        </w:rPr>
        <w:t xml:space="preserve">Address: &lt; </w:t>
      </w:r>
      <w:r w:rsidRPr="00C44168">
        <w:rPr>
          <w:rFonts w:ascii="Times New Roman" w:hAnsi="Times New Roman"/>
          <w:sz w:val="22"/>
          <w:szCs w:val="24"/>
          <w:highlight w:val="yellow"/>
        </w:rPr>
        <w:t xml:space="preserve">address </w:t>
      </w:r>
      <w:r w:rsidRPr="00C44168">
        <w:rPr>
          <w:rFonts w:ascii="Times New Roman" w:hAnsi="Times New Roman"/>
          <w:sz w:val="22"/>
          <w:szCs w:val="24"/>
        </w:rPr>
        <w:t>&gt;</w:t>
      </w:r>
    </w:p>
    <w:p w14:paraId="794DFE9C" w14:textId="40571D3C" w:rsidR="0047783A" w:rsidRPr="00C44168" w:rsidRDefault="00C44168" w:rsidP="00C44168">
      <w:pPr>
        <w:ind w:left="404" w:firstLine="720"/>
        <w:rPr>
          <w:rFonts w:ascii="Times New Roman" w:hAnsi="Times New Roman"/>
          <w:sz w:val="28"/>
          <w:szCs w:val="22"/>
        </w:rPr>
      </w:pPr>
      <w:r w:rsidRPr="00C44168">
        <w:rPr>
          <w:rFonts w:ascii="Times New Roman" w:hAnsi="Times New Roman"/>
          <w:sz w:val="22"/>
          <w:szCs w:val="24"/>
        </w:rPr>
        <w:t>Email: &lt;</w:t>
      </w:r>
      <w:r w:rsidRPr="00C44168">
        <w:rPr>
          <w:rFonts w:ascii="Times New Roman" w:hAnsi="Times New Roman"/>
          <w:color w:val="00FF00"/>
          <w:sz w:val="22"/>
          <w:szCs w:val="24"/>
          <w:highlight w:val="yellow"/>
        </w:rPr>
        <w:t xml:space="preserve"> </w:t>
      </w:r>
      <w:r w:rsidRPr="00C44168">
        <w:rPr>
          <w:rFonts w:ascii="Times New Roman" w:hAnsi="Times New Roman"/>
          <w:sz w:val="22"/>
          <w:szCs w:val="24"/>
          <w:highlight w:val="yellow"/>
        </w:rPr>
        <w:t xml:space="preserve">e-mail address </w:t>
      </w:r>
      <w:r w:rsidRPr="00C44168">
        <w:rPr>
          <w:rFonts w:ascii="Times New Roman" w:hAnsi="Times New Roman"/>
          <w:sz w:val="22"/>
          <w:szCs w:val="24"/>
        </w:rPr>
        <w:t>&gt;</w:t>
      </w:r>
    </w:p>
    <w:p w14:paraId="24BEED87" w14:textId="77777777" w:rsidR="00212C7D" w:rsidRDefault="00212C7D" w:rsidP="00212C7D">
      <w:pPr>
        <w:ind w:left="1134" w:hanging="567"/>
        <w:jc w:val="both"/>
        <w:rPr>
          <w:rFonts w:ascii="Times New Roman" w:hAnsi="Times New Roman"/>
          <w:snapToGrid/>
          <w:sz w:val="22"/>
          <w:szCs w:val="22"/>
        </w:rPr>
      </w:pPr>
      <w:r>
        <w:rPr>
          <w:rFonts w:ascii="Times New Roman" w:hAnsi="Times New Roman"/>
          <w:sz w:val="22"/>
          <w:szCs w:val="22"/>
        </w:rPr>
        <w:t>4.2</w:t>
      </w:r>
      <w:r>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4BAB0798" w14:textId="77777777" w:rsidR="00212C7D" w:rsidRDefault="00212C7D" w:rsidP="00212C7D">
      <w:pPr>
        <w:ind w:left="1134" w:hanging="567"/>
        <w:jc w:val="both"/>
        <w:rPr>
          <w:rFonts w:ascii="Times New Roman" w:hAnsi="Times New Roman"/>
          <w:sz w:val="22"/>
          <w:szCs w:val="22"/>
        </w:rPr>
      </w:pPr>
      <w:r>
        <w:rPr>
          <w:rFonts w:ascii="Times New Roman" w:hAnsi="Times New Roman"/>
          <w:sz w:val="22"/>
          <w:szCs w:val="22"/>
        </w:rPr>
        <w:tab/>
        <w:t>The electronic management of the contract through the aforementioned system may commence on the date on which implementation of the contract starts, as described in Article 18 below, or at a later date. In the latter case, the contracting authority will inform the contractor in writing that he will be required to use the electronic system for all communications within a maximum period of 3 months.</w:t>
      </w:r>
    </w:p>
    <w:p w14:paraId="30D5433B" w14:textId="25E985A2" w:rsidR="006D3DE4" w:rsidRPr="003D6B6C" w:rsidRDefault="006D3DE4" w:rsidP="00240FEB">
      <w:pPr>
        <w:ind w:left="1134" w:hanging="567"/>
        <w:jc w:val="both"/>
        <w:rPr>
          <w:rFonts w:ascii="Times New Roman" w:hAnsi="Times New Roman"/>
          <w:sz w:val="22"/>
          <w:szCs w:val="22"/>
        </w:rPr>
      </w:pPr>
    </w:p>
    <w:p w14:paraId="21AE0AA8" w14:textId="77777777" w:rsidR="00CF4F4B" w:rsidRPr="00CF4F4B" w:rsidRDefault="00CF4F4B" w:rsidP="00CF4F4B">
      <w:pPr>
        <w:spacing w:before="240"/>
        <w:ind w:left="1134" w:hanging="1134"/>
        <w:jc w:val="both"/>
        <w:rPr>
          <w:rFonts w:ascii="Times New Roman" w:hAnsi="Times New Roman"/>
          <w:b/>
          <w:sz w:val="24"/>
          <w:szCs w:val="24"/>
        </w:rPr>
      </w:pPr>
      <w:bookmarkStart w:id="4" w:name="_Toc124934898"/>
      <w:r w:rsidRPr="00CF4F4B">
        <w:rPr>
          <w:rFonts w:ascii="Times New Roman" w:hAnsi="Times New Roman"/>
          <w:b/>
          <w:sz w:val="24"/>
          <w:szCs w:val="24"/>
        </w:rPr>
        <w:lastRenderedPageBreak/>
        <w:t>Article 6</w:t>
      </w:r>
      <w:r w:rsidRPr="00CF4F4B">
        <w:rPr>
          <w:rFonts w:ascii="Times New Roman" w:hAnsi="Times New Roman"/>
          <w:b/>
          <w:sz w:val="24"/>
          <w:szCs w:val="24"/>
        </w:rPr>
        <w:tab/>
        <w:t>Subcontracting</w:t>
      </w:r>
    </w:p>
    <w:p w14:paraId="2CDB81E9" w14:textId="77777777" w:rsidR="00CF4F4B" w:rsidRPr="00CF4F4B" w:rsidRDefault="00CF4F4B" w:rsidP="00CF4F4B">
      <w:pPr>
        <w:widowControl w:val="0"/>
        <w:jc w:val="both"/>
        <w:rPr>
          <w:rFonts w:ascii="Times New Roman" w:hAnsi="Times New Roman"/>
          <w:sz w:val="22"/>
          <w:szCs w:val="22"/>
        </w:rPr>
      </w:pPr>
      <w:r w:rsidRPr="00CF4F4B">
        <w:rPr>
          <w:rFonts w:ascii="Times New Roman" w:hAnsi="Times New Roman"/>
          <w:sz w:val="22"/>
          <w:szCs w:val="22"/>
        </w:rPr>
        <w:t xml:space="preserve">          No derogation from Article 6 of the General conditions.</w:t>
      </w:r>
    </w:p>
    <w:p w14:paraId="03023528" w14:textId="77777777" w:rsidR="000B4B1D" w:rsidRPr="000B4B1D" w:rsidRDefault="000B4B1D" w:rsidP="000B4B1D">
      <w:pPr>
        <w:spacing w:before="240"/>
        <w:ind w:left="1134" w:hanging="1134"/>
        <w:jc w:val="both"/>
        <w:rPr>
          <w:rFonts w:ascii="Times New Roman" w:hAnsi="Times New Roman"/>
          <w:b/>
          <w:sz w:val="24"/>
          <w:szCs w:val="24"/>
        </w:rPr>
      </w:pPr>
      <w:r w:rsidRPr="000B4B1D">
        <w:rPr>
          <w:rFonts w:ascii="Times New Roman" w:hAnsi="Times New Roman"/>
          <w:b/>
          <w:sz w:val="24"/>
          <w:szCs w:val="24"/>
        </w:rPr>
        <w:t>Article 7</w:t>
      </w:r>
      <w:r w:rsidRPr="000B4B1D">
        <w:rPr>
          <w:rFonts w:ascii="Times New Roman" w:hAnsi="Times New Roman"/>
          <w:b/>
          <w:sz w:val="24"/>
          <w:szCs w:val="24"/>
        </w:rPr>
        <w:tab/>
        <w:t>Supply of documents</w:t>
      </w:r>
    </w:p>
    <w:p w14:paraId="06682380" w14:textId="77777777" w:rsidR="00212C7D" w:rsidRDefault="00212C7D" w:rsidP="00212C7D">
      <w:pPr>
        <w:ind w:left="425"/>
        <w:jc w:val="both"/>
        <w:rPr>
          <w:rFonts w:ascii="Times New Roman" w:hAnsi="Times New Roman"/>
          <w:b/>
          <w:snapToGrid/>
          <w:sz w:val="22"/>
          <w:szCs w:val="22"/>
        </w:rPr>
      </w:pPr>
      <w:r>
        <w:rPr>
          <w:rFonts w:ascii="Times New Roman" w:hAnsi="Times New Roman"/>
          <w:sz w:val="22"/>
          <w:szCs w:val="22"/>
        </w:rPr>
        <w:t>Technical brochures, technical data sheets etc. showing in details type, dimensions, size and description of the offered vehicles and/or technical documentation proving the required performance and parameters in order to verify the compliance with the technical specifications and standard user manuals and safety instruction must be provided for the supplies described in ANNEX II and III Technical specification and Technical offer</w:t>
      </w:r>
    </w:p>
    <w:p w14:paraId="06BDEBBE" w14:textId="77777777" w:rsidR="000B4B1D" w:rsidRPr="000B4B1D" w:rsidRDefault="000B4B1D" w:rsidP="000B4B1D">
      <w:pPr>
        <w:ind w:left="425"/>
        <w:jc w:val="both"/>
        <w:rPr>
          <w:rFonts w:ascii="Times New Roman" w:hAnsi="Times New Roman"/>
          <w:b/>
          <w:sz w:val="22"/>
          <w:szCs w:val="22"/>
        </w:rPr>
      </w:pPr>
      <w:r w:rsidRPr="000B4B1D">
        <w:rPr>
          <w:rFonts w:ascii="Times New Roman" w:hAnsi="Times New Roman"/>
          <w:sz w:val="22"/>
          <w:szCs w:val="22"/>
        </w:rPr>
        <w:t>Any specific documents, other than those described in Instruction to Tenderers - Content of tenders, used for submission by the Contractor to the Contracting Authority, are referred to in the Annex II + III – Technical Specifications + Technical Offer.</w:t>
      </w:r>
    </w:p>
    <w:p w14:paraId="3F0991F2" w14:textId="77777777" w:rsidR="000B4B1D" w:rsidRPr="000B4B1D" w:rsidRDefault="000B4B1D" w:rsidP="000B4B1D">
      <w:pPr>
        <w:spacing w:before="240"/>
        <w:ind w:left="1134" w:hanging="1134"/>
        <w:jc w:val="both"/>
        <w:rPr>
          <w:rFonts w:ascii="Times New Roman" w:hAnsi="Times New Roman"/>
          <w:b/>
          <w:sz w:val="24"/>
          <w:szCs w:val="24"/>
        </w:rPr>
      </w:pPr>
      <w:r w:rsidRPr="000B4B1D">
        <w:rPr>
          <w:rFonts w:ascii="Times New Roman" w:hAnsi="Times New Roman"/>
          <w:b/>
          <w:sz w:val="24"/>
          <w:szCs w:val="24"/>
        </w:rPr>
        <w:t>Article 8</w:t>
      </w:r>
      <w:r w:rsidRPr="000B4B1D">
        <w:rPr>
          <w:rFonts w:ascii="Times New Roman" w:hAnsi="Times New Roman"/>
          <w:b/>
          <w:sz w:val="24"/>
          <w:szCs w:val="24"/>
        </w:rPr>
        <w:tab/>
        <w:t>Assistance with local regulations</w:t>
      </w:r>
    </w:p>
    <w:p w14:paraId="0CB6DD7E" w14:textId="77777777" w:rsidR="00212C7D" w:rsidRDefault="00212C7D" w:rsidP="00212C7D">
      <w:pPr>
        <w:tabs>
          <w:tab w:val="left" w:pos="1134"/>
        </w:tabs>
        <w:ind w:left="1134"/>
        <w:jc w:val="both"/>
        <w:rPr>
          <w:rFonts w:ascii="Times New Roman" w:hAnsi="Times New Roman"/>
          <w:snapToGrid/>
          <w:sz w:val="22"/>
          <w:szCs w:val="22"/>
        </w:rPr>
      </w:pPr>
      <w:r>
        <w:rPr>
          <w:rFonts w:ascii="Times New Roman" w:hAnsi="Times New Roman"/>
          <w:sz w:val="22"/>
          <w:szCs w:val="22"/>
        </w:rPr>
        <w:t>The Contractor shall, in performing the Contract, comply with all applicable national laws.</w:t>
      </w:r>
    </w:p>
    <w:p w14:paraId="5E5BE8BD" w14:textId="77777777" w:rsidR="00212C7D" w:rsidRDefault="00212C7D" w:rsidP="00212C7D">
      <w:pPr>
        <w:tabs>
          <w:tab w:val="left" w:pos="1134"/>
        </w:tabs>
        <w:ind w:left="1134"/>
        <w:jc w:val="both"/>
        <w:rPr>
          <w:rFonts w:ascii="Times New Roman" w:hAnsi="Times New Roman"/>
          <w:sz w:val="22"/>
          <w:szCs w:val="22"/>
        </w:rPr>
      </w:pPr>
      <w:r>
        <w:rPr>
          <w:rFonts w:ascii="Times New Roman" w:hAnsi="Times New Roman"/>
          <w:sz w:val="22"/>
          <w:szCs w:val="22"/>
        </w:rPr>
        <w:t>The Contractor shall pay all taxes, duties and fees, and obtain all permits that may be required by the national authorities, licenses and approvals, as required by the laws of Republic of North Macedonia in relation to the contract. The Contractor is responsible to become timely acquainted with any relevant legal provisions in force in The Republic of North Macedonia, including those that may be required by the different national competent authorities for import, permitting, or customs clearance of the goods so as to avoid any associated delays during the implementation period. The Contractor shall indemnify and hold the Contracting Authority harmless from consequences of failure to do so or from eventual delays.</w:t>
      </w:r>
    </w:p>
    <w:p w14:paraId="06FC7CD2" w14:textId="77777777" w:rsidR="00212C7D" w:rsidRDefault="00212C7D" w:rsidP="00212C7D">
      <w:pPr>
        <w:tabs>
          <w:tab w:val="left" w:pos="1134"/>
        </w:tabs>
        <w:ind w:left="1134"/>
        <w:jc w:val="both"/>
        <w:rPr>
          <w:rFonts w:ascii="Times New Roman" w:hAnsi="Times New Roman"/>
          <w:sz w:val="22"/>
          <w:szCs w:val="22"/>
        </w:rPr>
      </w:pPr>
      <w:r>
        <w:rPr>
          <w:rFonts w:ascii="Times New Roman" w:hAnsi="Times New Roman"/>
          <w:sz w:val="22"/>
          <w:szCs w:val="22"/>
        </w:rPr>
        <w:t>The Contractormay contact the Contracting Authority in order to receive information about the VAT exemption, and/or taxes of equivalent effect, stamp or registration duties or any other charge having equivalent effect and the Customs procedures.</w:t>
      </w:r>
    </w:p>
    <w:p w14:paraId="03EA4343" w14:textId="77777777" w:rsidR="000B4B1D" w:rsidRPr="000B4B1D" w:rsidRDefault="000B4B1D" w:rsidP="000B4B1D">
      <w:pPr>
        <w:tabs>
          <w:tab w:val="left" w:pos="1134"/>
        </w:tabs>
        <w:jc w:val="both"/>
        <w:rPr>
          <w:rFonts w:ascii="Times New Roman" w:hAnsi="Times New Roman"/>
          <w:b/>
          <w:sz w:val="22"/>
          <w:szCs w:val="22"/>
        </w:rPr>
      </w:pPr>
      <w:r w:rsidRPr="000B4B1D">
        <w:rPr>
          <w:rFonts w:ascii="Times New Roman" w:hAnsi="Times New Roman"/>
          <w:b/>
          <w:sz w:val="22"/>
          <w:szCs w:val="22"/>
        </w:rPr>
        <w:t>Article 9</w:t>
      </w:r>
      <w:r w:rsidRPr="000B4B1D">
        <w:rPr>
          <w:rFonts w:ascii="Times New Roman" w:hAnsi="Times New Roman"/>
          <w:b/>
          <w:sz w:val="22"/>
          <w:szCs w:val="22"/>
        </w:rPr>
        <w:tab/>
        <w:t>General Obligations</w:t>
      </w:r>
    </w:p>
    <w:p w14:paraId="4D2301EF" w14:textId="77777777" w:rsidR="000B4B1D" w:rsidRPr="000B4B1D" w:rsidRDefault="000B4B1D" w:rsidP="000B4B1D">
      <w:pPr>
        <w:tabs>
          <w:tab w:val="left" w:pos="426"/>
        </w:tabs>
        <w:ind w:left="1134" w:right="-285" w:hanging="708"/>
        <w:rPr>
          <w:rFonts w:ascii="Times New Roman" w:hAnsi="Times New Roman"/>
          <w:sz w:val="22"/>
          <w:szCs w:val="22"/>
        </w:rPr>
      </w:pPr>
      <w:r w:rsidRPr="000B4B1D">
        <w:rPr>
          <w:rFonts w:ascii="Times New Roman" w:hAnsi="Times New Roman"/>
          <w:sz w:val="22"/>
          <w:szCs w:val="22"/>
        </w:rPr>
        <w:t>9.9</w:t>
      </w:r>
      <w:r w:rsidRPr="000B4B1D">
        <w:rPr>
          <w:rFonts w:ascii="Times New Roman" w:hAnsi="Times New Roman"/>
          <w:sz w:val="22"/>
          <w:szCs w:val="22"/>
        </w:rPr>
        <w:tab/>
        <w:t xml:space="preserve">The Contractor shall take the necessary measures to ensure the visibility of the European Union financing or co financing. These </w:t>
      </w:r>
      <w:r w:rsidRPr="000B4B1D">
        <w:rPr>
          <w:rFonts w:ascii="Times New Roman" w:hAnsi="Times New Roman"/>
          <w:spacing w:val="-3"/>
          <w:sz w:val="22"/>
          <w:szCs w:val="22"/>
        </w:rPr>
        <w:t>measures</w:t>
      </w:r>
      <w:r w:rsidRPr="000B4B1D">
        <w:rPr>
          <w:rFonts w:ascii="Times New Roman" w:hAnsi="Times New Roman"/>
          <w:sz w:val="22"/>
          <w:szCs w:val="22"/>
        </w:rPr>
        <w:t xml:space="preserve"> must comply with the rules lay down in the Communication and Visibility Manual for EU External Actions published on the EuropeAid Website: </w:t>
      </w:r>
      <w:hyperlink r:id="rId8" w:history="1">
        <w:r w:rsidRPr="000B4B1D">
          <w:rPr>
            <w:rFonts w:ascii="Times New Roman" w:hAnsi="Times New Roman"/>
            <w:color w:val="0000FF"/>
            <w:sz w:val="22"/>
            <w:szCs w:val="22"/>
            <w:u w:val="single"/>
          </w:rPr>
          <w:t>https://ec.europa.eu/europeaid/funding/communication-and-visibility-manual-eu-external-actions_en</w:t>
        </w:r>
      </w:hyperlink>
      <w:r w:rsidRPr="000B4B1D">
        <w:rPr>
          <w:rFonts w:ascii="Times New Roman" w:hAnsi="Times New Roman"/>
          <w:sz w:val="22"/>
          <w:szCs w:val="22"/>
        </w:rPr>
        <w:t xml:space="preserve"> .</w:t>
      </w:r>
    </w:p>
    <w:p w14:paraId="530E0830" w14:textId="77777777" w:rsidR="000B4B1D" w:rsidRPr="000B4B1D" w:rsidRDefault="000B4B1D" w:rsidP="000B4B1D">
      <w:pPr>
        <w:keepNext/>
        <w:spacing w:before="240"/>
        <w:ind w:left="1134" w:hanging="1134"/>
        <w:jc w:val="both"/>
        <w:rPr>
          <w:rFonts w:ascii="Times New Roman" w:hAnsi="Times New Roman"/>
          <w:b/>
          <w:sz w:val="24"/>
          <w:szCs w:val="24"/>
        </w:rPr>
      </w:pPr>
      <w:r w:rsidRPr="000B4B1D">
        <w:rPr>
          <w:rFonts w:ascii="Times New Roman" w:hAnsi="Times New Roman"/>
          <w:b/>
          <w:sz w:val="24"/>
          <w:szCs w:val="24"/>
        </w:rPr>
        <w:t>Article 10</w:t>
      </w:r>
      <w:r w:rsidRPr="000B4B1D">
        <w:rPr>
          <w:rFonts w:ascii="Times New Roman" w:hAnsi="Times New Roman"/>
          <w:b/>
          <w:sz w:val="24"/>
          <w:szCs w:val="24"/>
        </w:rPr>
        <w:tab/>
        <w:t>Origin</w:t>
      </w:r>
    </w:p>
    <w:p w14:paraId="5C5CF586" w14:textId="77777777" w:rsidR="000B4B1D" w:rsidRPr="000B4B1D" w:rsidRDefault="000B4B1D" w:rsidP="000B4B1D">
      <w:pPr>
        <w:numPr>
          <w:ilvl w:val="1"/>
          <w:numId w:val="0"/>
        </w:numPr>
        <w:ind w:left="1134" w:hanging="708"/>
        <w:jc w:val="both"/>
        <w:outlineLvl w:val="1"/>
        <w:rPr>
          <w:rFonts w:ascii="Times New Roman" w:hAnsi="Times New Roman"/>
          <w:sz w:val="22"/>
          <w:szCs w:val="22"/>
        </w:rPr>
      </w:pPr>
      <w:r w:rsidRPr="000B4B1D">
        <w:t>10.1</w:t>
      </w:r>
      <w:r w:rsidRPr="000B4B1D">
        <w:tab/>
      </w:r>
      <w:r w:rsidRPr="000B4B1D">
        <w:rPr>
          <w:rFonts w:ascii="Times New Roman" w:hAnsi="Times New Roman"/>
          <w:sz w:val="22"/>
          <w:szCs w:val="22"/>
        </w:rPr>
        <w:t xml:space="preserve">All supplies under this contract may </w:t>
      </w:r>
      <w:r w:rsidRPr="000B4B1D">
        <w:rPr>
          <w:rFonts w:ascii="Times New Roman" w:eastAsia="Calibri" w:hAnsi="Times New Roman"/>
          <w:noProof/>
          <w:sz w:val="22"/>
          <w:szCs w:val="22"/>
        </w:rPr>
        <w:t>originate from any country.</w:t>
      </w:r>
    </w:p>
    <w:p w14:paraId="7543F895" w14:textId="77777777" w:rsidR="000B4B1D" w:rsidRPr="000B4B1D" w:rsidRDefault="000B4B1D" w:rsidP="000B4B1D">
      <w:pPr>
        <w:spacing w:before="240"/>
        <w:ind w:left="1134" w:hanging="1134"/>
        <w:jc w:val="both"/>
        <w:rPr>
          <w:rFonts w:ascii="Times New Roman" w:hAnsi="Times New Roman"/>
          <w:b/>
          <w:sz w:val="24"/>
          <w:szCs w:val="24"/>
        </w:rPr>
      </w:pPr>
      <w:r w:rsidRPr="000B4B1D">
        <w:rPr>
          <w:rFonts w:ascii="Times New Roman" w:hAnsi="Times New Roman"/>
          <w:b/>
          <w:sz w:val="24"/>
          <w:szCs w:val="24"/>
        </w:rPr>
        <w:t>Article 11</w:t>
      </w:r>
      <w:r w:rsidRPr="000B4B1D">
        <w:rPr>
          <w:rFonts w:ascii="Times New Roman" w:hAnsi="Times New Roman"/>
          <w:b/>
          <w:sz w:val="24"/>
          <w:szCs w:val="24"/>
        </w:rPr>
        <w:tab/>
        <w:t>Performance guarantee</w:t>
      </w:r>
    </w:p>
    <w:p w14:paraId="4BA46357" w14:textId="77777777" w:rsidR="000B4B1D" w:rsidRPr="000B4B1D" w:rsidRDefault="000B4B1D" w:rsidP="000B4B1D">
      <w:pPr>
        <w:ind w:left="1134" w:hanging="709"/>
        <w:jc w:val="both"/>
        <w:rPr>
          <w:rFonts w:ascii="Times New Roman" w:hAnsi="Times New Roman"/>
          <w:sz w:val="22"/>
          <w:szCs w:val="22"/>
        </w:rPr>
      </w:pPr>
      <w:r w:rsidRPr="000B4B1D">
        <w:rPr>
          <w:rFonts w:ascii="Times New Roman" w:hAnsi="Times New Roman"/>
          <w:sz w:val="22"/>
          <w:szCs w:val="22"/>
        </w:rPr>
        <w:t>No performance guarantee is required.</w:t>
      </w:r>
    </w:p>
    <w:p w14:paraId="7C83DA24" w14:textId="236A99C4" w:rsidR="000B4B1D" w:rsidRPr="000B4B1D" w:rsidRDefault="000B4B1D" w:rsidP="000B4B1D">
      <w:pPr>
        <w:spacing w:before="240"/>
        <w:ind w:left="1134" w:hanging="1134"/>
        <w:jc w:val="both"/>
        <w:rPr>
          <w:rFonts w:ascii="Times New Roman" w:hAnsi="Times New Roman"/>
          <w:b/>
          <w:sz w:val="24"/>
          <w:szCs w:val="24"/>
        </w:rPr>
      </w:pPr>
      <w:r w:rsidRPr="000B4B1D">
        <w:rPr>
          <w:rFonts w:ascii="Times New Roman" w:hAnsi="Times New Roman"/>
          <w:b/>
          <w:sz w:val="24"/>
          <w:szCs w:val="24"/>
        </w:rPr>
        <w:t>Article 1</w:t>
      </w:r>
      <w:r w:rsidR="00212C7D">
        <w:rPr>
          <w:rFonts w:ascii="Times New Roman" w:hAnsi="Times New Roman"/>
          <w:b/>
          <w:sz w:val="24"/>
          <w:szCs w:val="24"/>
        </w:rPr>
        <w:t>2</w:t>
      </w:r>
      <w:r w:rsidRPr="000B4B1D">
        <w:rPr>
          <w:rFonts w:ascii="Times New Roman" w:hAnsi="Times New Roman"/>
          <w:b/>
          <w:sz w:val="24"/>
          <w:szCs w:val="24"/>
        </w:rPr>
        <w:tab/>
        <w:t>Liabilities and Insurance</w:t>
      </w:r>
    </w:p>
    <w:p w14:paraId="7B501CD5" w14:textId="77777777" w:rsidR="00212C7D" w:rsidRDefault="00212C7D" w:rsidP="00212C7D">
      <w:pPr>
        <w:tabs>
          <w:tab w:val="left" w:pos="1134"/>
        </w:tabs>
        <w:spacing w:before="240"/>
        <w:ind w:left="1134" w:hanging="708"/>
        <w:jc w:val="both"/>
        <w:rPr>
          <w:rFonts w:ascii="Times New Roman" w:hAnsi="Times New Roman"/>
          <w:snapToGrid/>
          <w:sz w:val="22"/>
          <w:szCs w:val="22"/>
        </w:rPr>
      </w:pPr>
      <w:r>
        <w:rPr>
          <w:rFonts w:ascii="Times New Roman" w:hAnsi="Times New Roman"/>
          <w:sz w:val="22"/>
          <w:szCs w:val="22"/>
        </w:rPr>
        <w:t>12.1(a)</w:t>
      </w:r>
      <w:r>
        <w:rPr>
          <w:rFonts w:ascii="Times New Roman" w:hAnsi="Times New Roman"/>
          <w:sz w:val="22"/>
          <w:szCs w:val="22"/>
        </w:rPr>
        <w:tab/>
        <w:t>No derogation from the General Conditions</w:t>
      </w:r>
    </w:p>
    <w:p w14:paraId="4B6F1EEC" w14:textId="77777777" w:rsidR="00212C7D" w:rsidRDefault="00212C7D" w:rsidP="00212C7D">
      <w:pPr>
        <w:tabs>
          <w:tab w:val="left" w:pos="1134"/>
        </w:tabs>
        <w:spacing w:before="240"/>
        <w:ind w:left="1134" w:hanging="708"/>
        <w:jc w:val="both"/>
        <w:rPr>
          <w:rFonts w:ascii="Times New Roman" w:hAnsi="Times New Roman"/>
          <w:sz w:val="22"/>
          <w:szCs w:val="22"/>
        </w:rPr>
      </w:pPr>
      <w:r>
        <w:rPr>
          <w:rFonts w:ascii="Times New Roman" w:hAnsi="Times New Roman"/>
          <w:sz w:val="22"/>
          <w:szCs w:val="22"/>
        </w:rPr>
        <w:lastRenderedPageBreak/>
        <w:t>12.1(b)</w:t>
      </w:r>
      <w:r>
        <w:rPr>
          <w:rFonts w:ascii="Times New Roman" w:hAnsi="Times New Roman"/>
          <w:sz w:val="22"/>
          <w:szCs w:val="22"/>
        </w:rPr>
        <w:tab/>
        <w:t xml:space="preserve">No derogation from the General </w:t>
      </w:r>
    </w:p>
    <w:p w14:paraId="01023435" w14:textId="77777777" w:rsidR="00212C7D" w:rsidRDefault="00212C7D" w:rsidP="00212C7D">
      <w:pPr>
        <w:tabs>
          <w:tab w:val="left" w:pos="1134"/>
        </w:tabs>
        <w:spacing w:before="240"/>
        <w:ind w:left="1134" w:hanging="708"/>
        <w:jc w:val="both"/>
        <w:rPr>
          <w:rFonts w:ascii="Times New Roman" w:hAnsi="Times New Roman"/>
          <w:sz w:val="22"/>
          <w:szCs w:val="22"/>
        </w:rPr>
      </w:pPr>
      <w:r>
        <w:rPr>
          <w:rFonts w:ascii="Times New Roman" w:hAnsi="Times New Roman"/>
          <w:sz w:val="22"/>
          <w:szCs w:val="22"/>
        </w:rPr>
        <w:t xml:space="preserve">       12.2(a), paragraph 1 No derogation from the General Conditions</w:t>
      </w:r>
      <w:r>
        <w:rPr>
          <w:rFonts w:ascii="Times New Roman" w:hAnsi="Times New Roman"/>
          <w:sz w:val="22"/>
          <w:szCs w:val="22"/>
        </w:rPr>
        <w:tab/>
      </w:r>
    </w:p>
    <w:p w14:paraId="4C997B04" w14:textId="77777777" w:rsidR="00212C7D" w:rsidRDefault="00212C7D" w:rsidP="00212C7D">
      <w:pPr>
        <w:tabs>
          <w:tab w:val="left" w:pos="1134"/>
        </w:tabs>
        <w:spacing w:before="240"/>
        <w:ind w:left="1134" w:hanging="708"/>
        <w:jc w:val="both"/>
        <w:rPr>
          <w:rFonts w:ascii="Times New Roman" w:hAnsi="Times New Roman"/>
          <w:sz w:val="22"/>
          <w:szCs w:val="22"/>
        </w:rPr>
      </w:pPr>
      <w:r>
        <w:rPr>
          <w:rFonts w:ascii="Times New Roman" w:hAnsi="Times New Roman"/>
          <w:sz w:val="22"/>
          <w:szCs w:val="22"/>
        </w:rPr>
        <w:t xml:space="preserve">       12.2(a), paragraph 2 No derogation from the General Conditions </w:t>
      </w:r>
    </w:p>
    <w:p w14:paraId="37113746" w14:textId="77777777" w:rsidR="00212C7D" w:rsidRDefault="00212C7D" w:rsidP="00212C7D">
      <w:pPr>
        <w:tabs>
          <w:tab w:val="left" w:pos="1134"/>
        </w:tabs>
        <w:spacing w:before="240"/>
        <w:ind w:left="1134" w:hanging="708"/>
        <w:jc w:val="both"/>
        <w:rPr>
          <w:rFonts w:ascii="Times New Roman" w:hAnsi="Times New Roman"/>
          <w:color w:val="222222"/>
          <w:sz w:val="22"/>
          <w:szCs w:val="22"/>
        </w:rPr>
      </w:pPr>
      <w:r>
        <w:rPr>
          <w:rFonts w:ascii="Times New Roman" w:hAnsi="Times New Roman"/>
          <w:sz w:val="22"/>
          <w:szCs w:val="22"/>
        </w:rPr>
        <w:t>12.2(b), paragraph 2</w:t>
      </w:r>
      <w:r>
        <w:rPr>
          <w:rFonts w:ascii="Times New Roman" w:hAnsi="Times New Roman"/>
          <w:sz w:val="22"/>
          <w:szCs w:val="22"/>
        </w:rPr>
        <w:tab/>
      </w:r>
    </w:p>
    <w:p w14:paraId="2A82502C" w14:textId="77777777" w:rsidR="00212C7D" w:rsidRDefault="00212C7D" w:rsidP="00212C7D">
      <w:pPr>
        <w:pStyle w:val="Default"/>
        <w:numPr>
          <w:ilvl w:val="0"/>
          <w:numId w:val="25"/>
        </w:numPr>
        <w:ind w:left="2268"/>
        <w:jc w:val="both"/>
        <w:rPr>
          <w:sz w:val="22"/>
          <w:szCs w:val="22"/>
        </w:rPr>
      </w:pPr>
      <w:r>
        <w:rPr>
          <w:b/>
          <w:i/>
          <w:iCs/>
          <w:sz w:val="22"/>
          <w:szCs w:val="22"/>
        </w:rPr>
        <w:t>DDP - Delivered Duty Paid</w:t>
      </w:r>
      <w:r>
        <w:rPr>
          <w:i/>
          <w:iCs/>
          <w:sz w:val="22"/>
          <w:szCs w:val="22"/>
        </w:rPr>
        <w:t xml:space="preserve">: </w:t>
      </w:r>
      <w:r>
        <w:rPr>
          <w:color w:val="222222"/>
          <w:sz w:val="22"/>
          <w:szCs w:val="22"/>
        </w:rPr>
        <w:t>Incoterm which imposes on the seller maximum obligations vis-à-vis transportation and loss risks and damage associated with the goods:</w:t>
      </w:r>
    </w:p>
    <w:p w14:paraId="644A765C" w14:textId="77777777" w:rsidR="00212C7D" w:rsidRDefault="00212C7D" w:rsidP="00212C7D">
      <w:pPr>
        <w:pStyle w:val="Default"/>
        <w:spacing w:after="120"/>
        <w:ind w:left="2268"/>
        <w:jc w:val="both"/>
        <w:rPr>
          <w:color w:val="222222"/>
          <w:sz w:val="22"/>
          <w:szCs w:val="22"/>
        </w:rPr>
      </w:pPr>
      <w:r>
        <w:rPr>
          <w:i/>
          <w:iCs/>
          <w:sz w:val="22"/>
          <w:szCs w:val="22"/>
        </w:rPr>
        <w:t>‘the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w:t>
      </w:r>
      <w:r>
        <w:rPr>
          <w:rStyle w:val="FootnoteReference"/>
          <w:i/>
          <w:iCs/>
          <w:sz w:val="22"/>
          <w:szCs w:val="22"/>
        </w:rPr>
        <w:footnoteReference w:id="1"/>
      </w:r>
      <w:r>
        <w:rPr>
          <w:color w:val="222222"/>
          <w:sz w:val="22"/>
          <w:szCs w:val="22"/>
        </w:rPr>
        <w:t>The transfer of risks and costs occurs at the place of unloading of the goods at the agreed place of destination.</w:t>
      </w:r>
    </w:p>
    <w:p w14:paraId="6D9592F7" w14:textId="77777777" w:rsidR="000B4B1D" w:rsidRPr="000B4B1D" w:rsidRDefault="000B4B1D" w:rsidP="000B4B1D">
      <w:pPr>
        <w:spacing w:before="240"/>
        <w:ind w:left="1134" w:hanging="1134"/>
        <w:jc w:val="both"/>
        <w:rPr>
          <w:rFonts w:ascii="Times New Roman" w:hAnsi="Times New Roman"/>
          <w:b/>
          <w:sz w:val="24"/>
          <w:szCs w:val="24"/>
        </w:rPr>
      </w:pPr>
      <w:r w:rsidRPr="000B4B1D">
        <w:rPr>
          <w:rFonts w:ascii="Times New Roman" w:hAnsi="Times New Roman"/>
          <w:b/>
          <w:sz w:val="24"/>
          <w:szCs w:val="24"/>
        </w:rPr>
        <w:t>Article 13</w:t>
      </w:r>
      <w:r w:rsidRPr="000B4B1D">
        <w:rPr>
          <w:rFonts w:ascii="Times New Roman" w:hAnsi="Times New Roman"/>
          <w:b/>
          <w:sz w:val="24"/>
          <w:szCs w:val="24"/>
        </w:rPr>
        <w:tab/>
        <w:t>Programme of implementation of tasks</w:t>
      </w:r>
    </w:p>
    <w:p w14:paraId="4F1C181A" w14:textId="02ACE1B0" w:rsidR="00353F6F" w:rsidRDefault="00353F6F" w:rsidP="00353F6F">
      <w:pPr>
        <w:spacing w:before="240"/>
        <w:ind w:left="1134" w:hanging="414"/>
        <w:jc w:val="both"/>
        <w:rPr>
          <w:rFonts w:ascii="Times New Roman" w:hAnsi="Times New Roman"/>
          <w:b/>
          <w:sz w:val="24"/>
          <w:szCs w:val="24"/>
        </w:rPr>
      </w:pPr>
      <w:r>
        <w:rPr>
          <w:rFonts w:ascii="Times New Roman" w:hAnsi="Times New Roman"/>
          <w:sz w:val="22"/>
          <w:szCs w:val="22"/>
        </w:rPr>
        <w:t xml:space="preserve">13.2. </w:t>
      </w:r>
      <w:r w:rsidRPr="00A154F0">
        <w:rPr>
          <w:rFonts w:ascii="Times New Roman" w:hAnsi="Times New Roman"/>
          <w:sz w:val="22"/>
          <w:szCs w:val="22"/>
        </w:rPr>
        <w:t>The delivery of suppl</w:t>
      </w:r>
      <w:r>
        <w:rPr>
          <w:rFonts w:ascii="Times New Roman" w:hAnsi="Times New Roman"/>
          <w:sz w:val="22"/>
          <w:szCs w:val="22"/>
        </w:rPr>
        <w:t>y</w:t>
      </w:r>
      <w:r w:rsidRPr="00A154F0">
        <w:rPr>
          <w:rFonts w:ascii="Times New Roman" w:hAnsi="Times New Roman"/>
          <w:sz w:val="22"/>
          <w:szCs w:val="22"/>
        </w:rPr>
        <w:t xml:space="preserve"> shall take place at the premises of the </w:t>
      </w:r>
      <w:r>
        <w:rPr>
          <w:rFonts w:ascii="Times New Roman" w:hAnsi="Times New Roman"/>
          <w:sz w:val="22"/>
          <w:szCs w:val="22"/>
        </w:rPr>
        <w:t>Military Academy General Mihailo Apostolski-Skopje, str. Vasko Karangeleski, BB</w:t>
      </w:r>
      <w:r w:rsidRPr="00A154F0">
        <w:rPr>
          <w:rFonts w:ascii="Times New Roman" w:hAnsi="Times New Roman"/>
          <w:sz w:val="22"/>
          <w:szCs w:val="22"/>
        </w:rPr>
        <w:t xml:space="preserve">, </w:t>
      </w:r>
      <w:r>
        <w:rPr>
          <w:rFonts w:ascii="Times New Roman" w:hAnsi="Times New Roman"/>
          <w:sz w:val="22"/>
          <w:szCs w:val="22"/>
        </w:rPr>
        <w:t>45</w:t>
      </w:r>
      <w:r w:rsidRPr="00C20247">
        <w:rPr>
          <w:rFonts w:ascii="Times New Roman" w:hAnsi="Times New Roman"/>
          <w:sz w:val="22"/>
          <w:szCs w:val="22"/>
        </w:rPr>
        <w:t xml:space="preserve"> days</w:t>
      </w:r>
      <w:r>
        <w:rPr>
          <w:rFonts w:ascii="Times New Roman" w:hAnsi="Times New Roman"/>
          <w:sz w:val="22"/>
          <w:szCs w:val="22"/>
        </w:rPr>
        <w:t>f rom the conclusion of the contract</w:t>
      </w:r>
      <w:r w:rsidRPr="000B4B1D">
        <w:rPr>
          <w:rFonts w:ascii="Times New Roman" w:hAnsi="Times New Roman"/>
          <w:b/>
          <w:sz w:val="24"/>
          <w:szCs w:val="24"/>
        </w:rPr>
        <w:t xml:space="preserve"> </w:t>
      </w:r>
    </w:p>
    <w:p w14:paraId="48E57F48" w14:textId="489D2187" w:rsidR="000B4B1D" w:rsidRPr="000B4B1D" w:rsidRDefault="000B4B1D" w:rsidP="00353F6F">
      <w:pPr>
        <w:spacing w:before="240"/>
        <w:jc w:val="both"/>
        <w:rPr>
          <w:rFonts w:ascii="Times New Roman" w:hAnsi="Times New Roman"/>
          <w:b/>
          <w:sz w:val="24"/>
          <w:szCs w:val="24"/>
        </w:rPr>
      </w:pPr>
      <w:r w:rsidRPr="000B4B1D">
        <w:rPr>
          <w:rFonts w:ascii="Times New Roman" w:hAnsi="Times New Roman"/>
          <w:b/>
          <w:sz w:val="24"/>
          <w:szCs w:val="24"/>
        </w:rPr>
        <w:t>Article 15</w:t>
      </w:r>
      <w:r w:rsidRPr="000B4B1D">
        <w:rPr>
          <w:rFonts w:ascii="Times New Roman" w:hAnsi="Times New Roman"/>
          <w:b/>
          <w:sz w:val="24"/>
          <w:szCs w:val="24"/>
        </w:rPr>
        <w:tab/>
        <w:t>Sufficiency of tender prices</w:t>
      </w:r>
      <w:r w:rsidRPr="000B4B1D">
        <w:rPr>
          <w:rFonts w:ascii="Times New Roman" w:hAnsi="Times New Roman"/>
          <w:b/>
          <w:sz w:val="24"/>
          <w:szCs w:val="24"/>
        </w:rPr>
        <w:tab/>
      </w:r>
    </w:p>
    <w:p w14:paraId="2750B949" w14:textId="77777777" w:rsidR="000B4B1D" w:rsidRPr="000B4B1D" w:rsidRDefault="000B4B1D" w:rsidP="000B4B1D">
      <w:pPr>
        <w:ind w:left="1134" w:hanging="709"/>
        <w:jc w:val="both"/>
        <w:rPr>
          <w:rFonts w:ascii="Times New Roman" w:hAnsi="Times New Roman"/>
          <w:sz w:val="22"/>
          <w:szCs w:val="22"/>
        </w:rPr>
      </w:pPr>
      <w:r w:rsidRPr="000B4B1D">
        <w:rPr>
          <w:rFonts w:ascii="Times New Roman" w:hAnsi="Times New Roman"/>
          <w:sz w:val="22"/>
          <w:szCs w:val="22"/>
        </w:rPr>
        <w:t>15.1</w:t>
      </w:r>
      <w:r w:rsidRPr="000B4B1D">
        <w:rPr>
          <w:rFonts w:ascii="Times New Roman" w:hAnsi="Times New Roman"/>
          <w:sz w:val="22"/>
          <w:szCs w:val="22"/>
        </w:rPr>
        <w:tab/>
        <w:t>Article 15 of the General Conditions shall apply.</w:t>
      </w:r>
    </w:p>
    <w:p w14:paraId="5EE0EDF9" w14:textId="77777777" w:rsidR="000B4B1D" w:rsidRPr="000B4B1D" w:rsidRDefault="000B4B1D" w:rsidP="000B4B1D">
      <w:pPr>
        <w:spacing w:before="240"/>
        <w:ind w:left="1134" w:hanging="1134"/>
        <w:jc w:val="both"/>
        <w:rPr>
          <w:rFonts w:ascii="Times New Roman" w:hAnsi="Times New Roman"/>
          <w:b/>
          <w:sz w:val="24"/>
          <w:szCs w:val="24"/>
        </w:rPr>
      </w:pPr>
      <w:r w:rsidRPr="000B4B1D">
        <w:rPr>
          <w:rFonts w:ascii="Times New Roman" w:hAnsi="Times New Roman"/>
          <w:b/>
          <w:sz w:val="24"/>
          <w:szCs w:val="24"/>
        </w:rPr>
        <w:t>Article 16</w:t>
      </w:r>
      <w:r w:rsidRPr="000B4B1D">
        <w:rPr>
          <w:rFonts w:ascii="Times New Roman" w:hAnsi="Times New Roman"/>
          <w:b/>
          <w:sz w:val="24"/>
          <w:szCs w:val="24"/>
        </w:rPr>
        <w:tab/>
        <w:t>Tax and customs arrangements</w:t>
      </w:r>
    </w:p>
    <w:p w14:paraId="75CF926F" w14:textId="2533CA74" w:rsidR="00353F6F" w:rsidRDefault="00353F6F" w:rsidP="00353F6F">
      <w:pPr>
        <w:spacing w:before="240"/>
        <w:ind w:left="1134" w:hanging="414"/>
        <w:jc w:val="both"/>
        <w:rPr>
          <w:rFonts w:ascii="Times New Roman" w:hAnsi="Times New Roman"/>
          <w:b/>
          <w:sz w:val="24"/>
          <w:szCs w:val="24"/>
        </w:rPr>
      </w:pPr>
      <w:r>
        <w:rPr>
          <w:rFonts w:ascii="Times New Roman" w:hAnsi="Times New Roman"/>
          <w:sz w:val="22"/>
          <w:szCs w:val="22"/>
        </w:rPr>
        <w:t xml:space="preserve">16.1. </w:t>
      </w:r>
      <w:r w:rsidRPr="002F3CDB">
        <w:rPr>
          <w:rFonts w:ascii="Times New Roman" w:hAnsi="Times New Roman"/>
          <w:sz w:val="22"/>
          <w:szCs w:val="22"/>
        </w:rPr>
        <w:t>No derogation from General Conditions</w:t>
      </w:r>
      <w:r w:rsidRPr="000B4B1D">
        <w:rPr>
          <w:rFonts w:ascii="Times New Roman" w:hAnsi="Times New Roman"/>
          <w:b/>
          <w:sz w:val="24"/>
          <w:szCs w:val="24"/>
        </w:rPr>
        <w:t xml:space="preserve"> </w:t>
      </w:r>
    </w:p>
    <w:p w14:paraId="52D80179" w14:textId="7D8F196E" w:rsidR="000B4B1D" w:rsidRPr="000B4B1D" w:rsidRDefault="000B4B1D" w:rsidP="000B4B1D">
      <w:pPr>
        <w:spacing w:before="240"/>
        <w:ind w:left="1134" w:hanging="1134"/>
        <w:jc w:val="both"/>
        <w:rPr>
          <w:rFonts w:ascii="Times New Roman" w:hAnsi="Times New Roman"/>
          <w:b/>
          <w:sz w:val="24"/>
          <w:szCs w:val="24"/>
        </w:rPr>
      </w:pPr>
      <w:r w:rsidRPr="000B4B1D">
        <w:rPr>
          <w:rFonts w:ascii="Times New Roman" w:hAnsi="Times New Roman"/>
          <w:b/>
          <w:sz w:val="24"/>
          <w:szCs w:val="24"/>
        </w:rPr>
        <w:t>Article 17</w:t>
      </w:r>
      <w:r w:rsidRPr="000B4B1D">
        <w:rPr>
          <w:rFonts w:ascii="Times New Roman" w:hAnsi="Times New Roman"/>
          <w:b/>
          <w:sz w:val="24"/>
          <w:szCs w:val="24"/>
        </w:rPr>
        <w:tab/>
        <w:t>Patents and licences</w:t>
      </w:r>
    </w:p>
    <w:p w14:paraId="43BD696E" w14:textId="77777777" w:rsidR="000B4B1D" w:rsidRPr="000B4B1D" w:rsidRDefault="000B4B1D" w:rsidP="000B4B1D">
      <w:pPr>
        <w:ind w:left="1134" w:hanging="709"/>
        <w:jc w:val="both"/>
        <w:rPr>
          <w:rFonts w:ascii="Times New Roman" w:hAnsi="Times New Roman"/>
          <w:sz w:val="22"/>
          <w:szCs w:val="22"/>
        </w:rPr>
      </w:pPr>
      <w:r w:rsidRPr="000B4B1D">
        <w:rPr>
          <w:rFonts w:ascii="Times New Roman" w:hAnsi="Times New Roman"/>
          <w:sz w:val="22"/>
          <w:szCs w:val="22"/>
        </w:rPr>
        <w:t>17.1</w:t>
      </w:r>
      <w:r w:rsidRPr="000B4B1D">
        <w:rPr>
          <w:rFonts w:ascii="Times New Roman" w:hAnsi="Times New Roman"/>
          <w:sz w:val="22"/>
          <w:szCs w:val="22"/>
        </w:rPr>
        <w:tab/>
        <w:t>No derogation from Article 17 of the General Conditions.</w:t>
      </w:r>
    </w:p>
    <w:p w14:paraId="54827F12" w14:textId="77777777" w:rsidR="000B4B1D" w:rsidRPr="000B4B1D" w:rsidRDefault="000B4B1D" w:rsidP="000B4B1D">
      <w:pPr>
        <w:spacing w:before="240"/>
        <w:ind w:left="1134" w:hanging="1134"/>
        <w:jc w:val="both"/>
        <w:rPr>
          <w:rFonts w:ascii="Times New Roman" w:hAnsi="Times New Roman"/>
          <w:b/>
          <w:sz w:val="24"/>
          <w:szCs w:val="24"/>
        </w:rPr>
      </w:pPr>
      <w:r w:rsidRPr="000B4B1D">
        <w:rPr>
          <w:rFonts w:ascii="Times New Roman" w:hAnsi="Times New Roman"/>
          <w:b/>
          <w:sz w:val="24"/>
          <w:szCs w:val="24"/>
        </w:rPr>
        <w:t>Article 18</w:t>
      </w:r>
      <w:r w:rsidRPr="000B4B1D">
        <w:rPr>
          <w:rFonts w:ascii="Times New Roman" w:hAnsi="Times New Roman"/>
          <w:b/>
          <w:sz w:val="24"/>
          <w:szCs w:val="24"/>
        </w:rPr>
        <w:tab/>
        <w:t xml:space="preserve">Commencement order </w:t>
      </w:r>
    </w:p>
    <w:p w14:paraId="2D51B4C6" w14:textId="77777777" w:rsidR="000B4B1D" w:rsidRPr="000B4B1D" w:rsidRDefault="000B4B1D" w:rsidP="000B4B1D">
      <w:pPr>
        <w:ind w:left="1134" w:hanging="709"/>
        <w:jc w:val="both"/>
        <w:rPr>
          <w:rFonts w:ascii="Times New Roman" w:hAnsi="Times New Roman"/>
          <w:sz w:val="22"/>
          <w:szCs w:val="22"/>
        </w:rPr>
      </w:pPr>
      <w:r w:rsidRPr="000B4B1D">
        <w:rPr>
          <w:rFonts w:ascii="Times New Roman" w:hAnsi="Times New Roman"/>
          <w:sz w:val="22"/>
          <w:szCs w:val="22"/>
        </w:rPr>
        <w:t>19.1</w:t>
      </w:r>
      <w:r w:rsidRPr="000B4B1D">
        <w:rPr>
          <w:rFonts w:ascii="Times New Roman" w:hAnsi="Times New Roman"/>
          <w:b/>
          <w:sz w:val="22"/>
          <w:szCs w:val="22"/>
        </w:rPr>
        <w:tab/>
      </w:r>
      <w:r w:rsidRPr="000B4B1D">
        <w:rPr>
          <w:rFonts w:ascii="Times New Roman" w:hAnsi="Times New Roman"/>
          <w:sz w:val="22"/>
          <w:szCs w:val="22"/>
        </w:rPr>
        <w:t>The implementation of the contract shall commence on the date of signature of the contract by both parties.</w:t>
      </w:r>
    </w:p>
    <w:p w14:paraId="3290E49A" w14:textId="77777777" w:rsidR="000B4B1D" w:rsidRPr="000B4B1D" w:rsidRDefault="000B4B1D" w:rsidP="000B4B1D">
      <w:pPr>
        <w:spacing w:before="240"/>
        <w:ind w:left="1134" w:hanging="1134"/>
        <w:jc w:val="both"/>
        <w:rPr>
          <w:rFonts w:ascii="Times New Roman" w:hAnsi="Times New Roman"/>
          <w:b/>
          <w:sz w:val="24"/>
          <w:szCs w:val="24"/>
        </w:rPr>
      </w:pPr>
      <w:r w:rsidRPr="000B4B1D">
        <w:rPr>
          <w:rFonts w:ascii="Times New Roman" w:hAnsi="Times New Roman"/>
          <w:b/>
          <w:sz w:val="24"/>
          <w:szCs w:val="24"/>
        </w:rPr>
        <w:t>Article 19</w:t>
      </w:r>
      <w:r w:rsidRPr="000B4B1D">
        <w:rPr>
          <w:rFonts w:ascii="Times New Roman" w:hAnsi="Times New Roman"/>
          <w:b/>
          <w:sz w:val="24"/>
          <w:szCs w:val="24"/>
        </w:rPr>
        <w:tab/>
        <w:t>Period of implementation of the tasks</w:t>
      </w:r>
    </w:p>
    <w:p w14:paraId="7B9EA529" w14:textId="77777777" w:rsidR="000B4B1D" w:rsidRPr="000B4B1D" w:rsidRDefault="000B4B1D" w:rsidP="000B4B1D">
      <w:pPr>
        <w:ind w:left="1134" w:hanging="709"/>
        <w:jc w:val="both"/>
        <w:rPr>
          <w:rFonts w:ascii="Times New Roman" w:hAnsi="Times New Roman"/>
          <w:sz w:val="22"/>
          <w:szCs w:val="22"/>
        </w:rPr>
      </w:pPr>
      <w:r w:rsidRPr="000B4B1D">
        <w:rPr>
          <w:rFonts w:ascii="Times New Roman" w:hAnsi="Times New Roman"/>
          <w:sz w:val="22"/>
          <w:szCs w:val="22"/>
        </w:rPr>
        <w:t>19.1</w:t>
      </w:r>
      <w:r w:rsidRPr="000B4B1D">
        <w:rPr>
          <w:rFonts w:ascii="Times New Roman" w:hAnsi="Times New Roman"/>
          <w:b/>
          <w:sz w:val="22"/>
          <w:szCs w:val="22"/>
        </w:rPr>
        <w:tab/>
      </w:r>
      <w:r w:rsidRPr="000B4B1D">
        <w:rPr>
          <w:rFonts w:ascii="Times New Roman" w:hAnsi="Times New Roman"/>
          <w:sz w:val="22"/>
          <w:szCs w:val="22"/>
        </w:rPr>
        <w:t>The start date for implementation shall be date of signature of the contract by both parties.</w:t>
      </w:r>
    </w:p>
    <w:p w14:paraId="1032FF19" w14:textId="72C33063" w:rsidR="000B4B1D" w:rsidRPr="000B4B1D" w:rsidRDefault="000B4B1D" w:rsidP="000B4B1D">
      <w:pPr>
        <w:ind w:left="1134" w:hanging="709"/>
        <w:jc w:val="both"/>
        <w:rPr>
          <w:rFonts w:ascii="Times New Roman" w:hAnsi="Times New Roman"/>
          <w:b/>
          <w:sz w:val="22"/>
          <w:szCs w:val="22"/>
        </w:rPr>
      </w:pPr>
      <w:r w:rsidRPr="000B4B1D">
        <w:rPr>
          <w:rFonts w:ascii="Times New Roman" w:hAnsi="Times New Roman"/>
          <w:sz w:val="22"/>
          <w:szCs w:val="22"/>
        </w:rPr>
        <w:lastRenderedPageBreak/>
        <w:t xml:space="preserve">19.2   The period for </w:t>
      </w:r>
      <w:r w:rsidR="00582E90">
        <w:rPr>
          <w:rFonts w:ascii="Times New Roman" w:hAnsi="Times New Roman"/>
          <w:sz w:val="22"/>
          <w:szCs w:val="22"/>
        </w:rPr>
        <w:t>delivery of sup</w:t>
      </w:r>
      <w:r w:rsidR="00C33F8E">
        <w:rPr>
          <w:rFonts w:ascii="Times New Roman" w:hAnsi="Times New Roman"/>
          <w:sz w:val="22"/>
          <w:szCs w:val="22"/>
        </w:rPr>
        <w:t>p</w:t>
      </w:r>
      <w:r w:rsidR="00582E90">
        <w:rPr>
          <w:rFonts w:ascii="Times New Roman" w:hAnsi="Times New Roman"/>
          <w:sz w:val="22"/>
          <w:szCs w:val="22"/>
        </w:rPr>
        <w:t>l</w:t>
      </w:r>
      <w:r w:rsidR="00C33F8E">
        <w:rPr>
          <w:rFonts w:ascii="Times New Roman" w:hAnsi="Times New Roman"/>
          <w:sz w:val="22"/>
          <w:szCs w:val="22"/>
        </w:rPr>
        <w:t xml:space="preserve">ies is </w:t>
      </w:r>
      <w:r w:rsidR="00A42ECF">
        <w:rPr>
          <w:rFonts w:ascii="Times New Roman" w:hAnsi="Times New Roman"/>
          <w:sz w:val="22"/>
          <w:szCs w:val="22"/>
        </w:rPr>
        <w:t>45</w:t>
      </w:r>
      <w:r w:rsidR="00C33F8E">
        <w:rPr>
          <w:rFonts w:ascii="Times New Roman" w:hAnsi="Times New Roman"/>
          <w:sz w:val="22"/>
          <w:szCs w:val="22"/>
        </w:rPr>
        <w:t xml:space="preserve"> days</w:t>
      </w:r>
      <w:r w:rsidRPr="000B4B1D">
        <w:rPr>
          <w:rFonts w:ascii="Times New Roman" w:hAnsi="Times New Roman"/>
          <w:sz w:val="22"/>
        </w:rPr>
        <w:t xml:space="preserve"> after the commencement date of the contract</w:t>
      </w:r>
      <w:r w:rsidR="00C33F8E">
        <w:rPr>
          <w:rFonts w:ascii="Times New Roman" w:hAnsi="Times New Roman"/>
          <w:sz w:val="22"/>
        </w:rPr>
        <w:t>.</w:t>
      </w:r>
    </w:p>
    <w:p w14:paraId="0F711676" w14:textId="77777777" w:rsidR="000B4B1D" w:rsidRPr="000B4B1D" w:rsidRDefault="000B4B1D" w:rsidP="000B4B1D">
      <w:pPr>
        <w:spacing w:before="240"/>
        <w:ind w:left="1134" w:hanging="1134"/>
        <w:jc w:val="both"/>
        <w:rPr>
          <w:rFonts w:ascii="Times New Roman" w:hAnsi="Times New Roman"/>
          <w:b/>
          <w:sz w:val="24"/>
          <w:szCs w:val="24"/>
        </w:rPr>
      </w:pPr>
      <w:r w:rsidRPr="000B4B1D">
        <w:rPr>
          <w:rFonts w:ascii="Times New Roman" w:hAnsi="Times New Roman"/>
          <w:b/>
          <w:sz w:val="24"/>
          <w:szCs w:val="24"/>
        </w:rPr>
        <w:t>Article 24</w:t>
      </w:r>
      <w:r w:rsidRPr="000B4B1D">
        <w:rPr>
          <w:rFonts w:ascii="Times New Roman" w:hAnsi="Times New Roman"/>
          <w:b/>
          <w:sz w:val="24"/>
          <w:szCs w:val="24"/>
        </w:rPr>
        <w:tab/>
        <w:t>Quality of supplies</w:t>
      </w:r>
    </w:p>
    <w:p w14:paraId="00775F13" w14:textId="77777777" w:rsidR="000B4B1D" w:rsidRPr="000B4B1D" w:rsidRDefault="000B4B1D" w:rsidP="000B4B1D">
      <w:pPr>
        <w:ind w:left="1134" w:hanging="709"/>
        <w:jc w:val="both"/>
        <w:rPr>
          <w:rFonts w:ascii="Times New Roman" w:hAnsi="Times New Roman"/>
          <w:sz w:val="22"/>
          <w:szCs w:val="22"/>
        </w:rPr>
      </w:pPr>
      <w:r w:rsidRPr="000B4B1D">
        <w:rPr>
          <w:rFonts w:ascii="Times New Roman" w:hAnsi="Times New Roman"/>
          <w:sz w:val="22"/>
          <w:szCs w:val="22"/>
        </w:rPr>
        <w:t>24.2</w:t>
      </w:r>
      <w:r w:rsidRPr="000B4B1D">
        <w:rPr>
          <w:rFonts w:ascii="Times New Roman" w:hAnsi="Times New Roman"/>
          <w:sz w:val="22"/>
          <w:szCs w:val="22"/>
        </w:rPr>
        <w:tab/>
        <w:t xml:space="preserve">No preliminary technical acceptance is required. In addition to the general provision of this article in the General Conditions, the supplies and services purchased under this contract shall conform to the standards mentioned in the Technical Specifications. </w:t>
      </w:r>
      <w:r w:rsidRPr="000B4B1D">
        <w:rPr>
          <w:rFonts w:ascii="Times New Roman" w:hAnsi="Times New Roman"/>
          <w:sz w:val="22"/>
          <w:szCs w:val="22"/>
        </w:rPr>
        <w:tab/>
      </w:r>
    </w:p>
    <w:p w14:paraId="7E8703D6" w14:textId="77777777" w:rsidR="000B4B1D" w:rsidRPr="000B4B1D" w:rsidRDefault="000B4B1D" w:rsidP="000B4B1D">
      <w:pPr>
        <w:spacing w:before="240"/>
        <w:ind w:left="1134" w:hanging="1134"/>
        <w:jc w:val="both"/>
        <w:rPr>
          <w:rFonts w:ascii="Times New Roman" w:hAnsi="Times New Roman"/>
          <w:b/>
          <w:sz w:val="24"/>
          <w:szCs w:val="24"/>
        </w:rPr>
      </w:pPr>
      <w:r w:rsidRPr="000B4B1D">
        <w:rPr>
          <w:rFonts w:ascii="Times New Roman" w:hAnsi="Times New Roman"/>
          <w:b/>
          <w:sz w:val="24"/>
          <w:szCs w:val="24"/>
        </w:rPr>
        <w:t>Article 25</w:t>
      </w:r>
      <w:r w:rsidRPr="000B4B1D">
        <w:rPr>
          <w:rFonts w:ascii="Times New Roman" w:hAnsi="Times New Roman"/>
          <w:b/>
          <w:sz w:val="24"/>
          <w:szCs w:val="24"/>
        </w:rPr>
        <w:tab/>
        <w:t>Inspection and testing</w:t>
      </w:r>
    </w:p>
    <w:p w14:paraId="1B7EE295" w14:textId="64357F65" w:rsidR="00353F6F" w:rsidRPr="003D6B6C" w:rsidRDefault="000B4B1D" w:rsidP="00353F6F">
      <w:pPr>
        <w:ind w:left="1134" w:hanging="709"/>
        <w:jc w:val="both"/>
        <w:rPr>
          <w:rFonts w:ascii="Times New Roman" w:hAnsi="Times New Roman"/>
          <w:b/>
          <w:sz w:val="22"/>
          <w:szCs w:val="22"/>
        </w:rPr>
      </w:pPr>
      <w:r w:rsidRPr="000B4B1D">
        <w:rPr>
          <w:rFonts w:ascii="Times New Roman" w:hAnsi="Times New Roman"/>
          <w:bCs/>
          <w:sz w:val="22"/>
          <w:szCs w:val="22"/>
        </w:rPr>
        <w:t>25.2</w:t>
      </w:r>
      <w:r w:rsidRPr="000B4B1D">
        <w:rPr>
          <w:rFonts w:ascii="Times New Roman" w:hAnsi="Times New Roman"/>
          <w:bCs/>
          <w:sz w:val="22"/>
          <w:szCs w:val="22"/>
        </w:rPr>
        <w:tab/>
      </w:r>
      <w:r w:rsidR="00353F6F">
        <w:rPr>
          <w:rFonts w:ascii="Times New Roman" w:hAnsi="Times New Roman"/>
          <w:bCs/>
          <w:sz w:val="22"/>
          <w:szCs w:val="22"/>
        </w:rPr>
        <w:t xml:space="preserve">The vehicle shall be inspected and tested in accordance with </w:t>
      </w:r>
      <w:r w:rsidR="00353F6F" w:rsidRPr="00ED76CE">
        <w:rPr>
          <w:rFonts w:ascii="Times New Roman" w:hAnsi="Times New Roman"/>
          <w:sz w:val="22"/>
          <w:szCs w:val="22"/>
        </w:rPr>
        <w:t>Article 25 of the general c</w:t>
      </w:r>
      <w:r w:rsidR="00353F6F">
        <w:rPr>
          <w:rFonts w:ascii="Times New Roman" w:hAnsi="Times New Roman"/>
          <w:sz w:val="22"/>
          <w:szCs w:val="22"/>
        </w:rPr>
        <w:t>onditions at the premises of the Contracting authority.</w:t>
      </w:r>
    </w:p>
    <w:p w14:paraId="6C3D9569" w14:textId="6DC73F93" w:rsidR="000B4B1D" w:rsidRPr="000B4B1D" w:rsidRDefault="000B4B1D" w:rsidP="00353F6F">
      <w:pPr>
        <w:ind w:left="1134" w:hanging="709"/>
        <w:jc w:val="both"/>
        <w:rPr>
          <w:rFonts w:ascii="Times New Roman" w:hAnsi="Times New Roman"/>
          <w:b/>
          <w:sz w:val="24"/>
          <w:szCs w:val="24"/>
        </w:rPr>
      </w:pPr>
      <w:r w:rsidRPr="000B4B1D">
        <w:rPr>
          <w:rFonts w:ascii="Times New Roman" w:hAnsi="Times New Roman"/>
          <w:b/>
          <w:sz w:val="24"/>
          <w:szCs w:val="24"/>
        </w:rPr>
        <w:t>Article 26</w:t>
      </w:r>
      <w:r w:rsidRPr="000B4B1D">
        <w:rPr>
          <w:rFonts w:ascii="Times New Roman" w:hAnsi="Times New Roman"/>
          <w:b/>
          <w:sz w:val="24"/>
          <w:szCs w:val="24"/>
        </w:rPr>
        <w:tab/>
        <w:t>General principles for payments</w:t>
      </w:r>
    </w:p>
    <w:p w14:paraId="67F6376B" w14:textId="77777777" w:rsidR="00ED0BDC" w:rsidRDefault="00ED0BDC" w:rsidP="00ED0BDC">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t>Payments shall be made in</w:t>
      </w:r>
      <w:r>
        <w:rPr>
          <w:rFonts w:ascii="Times New Roman" w:hAnsi="Times New Roman"/>
          <w:sz w:val="22"/>
          <w:szCs w:val="22"/>
        </w:rPr>
        <w:t xml:space="preserve"> MKD.</w:t>
      </w:r>
    </w:p>
    <w:p w14:paraId="6BB8E068" w14:textId="20729185" w:rsidR="00ED0BDC" w:rsidRPr="00002F5B" w:rsidRDefault="00353F6F" w:rsidP="00ED0BDC">
      <w:pPr>
        <w:tabs>
          <w:tab w:val="right" w:pos="9885"/>
        </w:tabs>
        <w:ind w:left="1134" w:hanging="709"/>
        <w:jc w:val="both"/>
        <w:rPr>
          <w:rFonts w:ascii="Times New Roman" w:hAnsi="Times New Roman"/>
          <w:sz w:val="22"/>
          <w:szCs w:val="22"/>
        </w:rPr>
      </w:pPr>
      <w:r>
        <w:rPr>
          <w:rFonts w:ascii="Times New Roman" w:hAnsi="Times New Roman"/>
          <w:sz w:val="22"/>
          <w:szCs w:val="22"/>
        </w:rPr>
        <w:tab/>
      </w:r>
      <w:r w:rsidR="00ED0BDC" w:rsidRPr="00002F5B">
        <w:rPr>
          <w:rFonts w:ascii="Times New Roman" w:hAnsi="Times New Roman"/>
          <w:sz w:val="22"/>
          <w:szCs w:val="22"/>
        </w:rPr>
        <w:t xml:space="preserve">In case the contract is concluded in EURO, and payments are made in national currency, applicable exchange rate must be InforEuro exchange rate of the month and year corresponding to the deadline for submitting applications. The invoices have to be issued through the system of Public Revenue Office of the Republic of North Macedonia as the Project </w:t>
      </w:r>
      <w:r w:rsidR="00ED0BDC">
        <w:rPr>
          <w:rFonts w:ascii="Times New Roman" w:hAnsi="Times New Roman"/>
          <w:sz w:val="22"/>
          <w:szCs w:val="22"/>
        </w:rPr>
        <w:t>“</w:t>
      </w:r>
      <w:r w:rsidR="00ED0BDC" w:rsidRPr="00002F5B">
        <w:rPr>
          <w:rFonts w:ascii="Times New Roman" w:hAnsi="Times New Roman"/>
          <w:sz w:val="22"/>
          <w:szCs w:val="22"/>
        </w:rPr>
        <w:t>Modern Tools for Wildfires’ and Floods’ Risk punctual forecast and monitoring and innovative techniques for cititzens’ safeguard awareness and preparedness”– entitledPREVEN-T is excluded from the tax system</w:t>
      </w:r>
    </w:p>
    <w:p w14:paraId="2E85DC22" w14:textId="77777777" w:rsidR="00ED0BDC" w:rsidRDefault="00ED0BDC" w:rsidP="00ED0BDC">
      <w:pPr>
        <w:tabs>
          <w:tab w:val="right" w:pos="9885"/>
        </w:tabs>
        <w:ind w:left="1134"/>
        <w:jc w:val="both"/>
        <w:rPr>
          <w:rFonts w:ascii="Times New Roman" w:hAnsi="Times New Roman"/>
          <w:sz w:val="22"/>
          <w:szCs w:val="22"/>
        </w:rPr>
      </w:pPr>
      <w:r w:rsidRPr="001F76B6">
        <w:rPr>
          <w:rFonts w:ascii="Times New Roman" w:hAnsi="Times New Roman"/>
          <w:sz w:val="22"/>
          <w:szCs w:val="22"/>
        </w:rPr>
        <w:t>Pre-financing is not applicable to this contract</w:t>
      </w:r>
      <w:r>
        <w:rPr>
          <w:rFonts w:ascii="Times New Roman" w:hAnsi="Times New Roman"/>
          <w:sz w:val="22"/>
          <w:szCs w:val="22"/>
        </w:rPr>
        <w:t>.</w:t>
      </w:r>
    </w:p>
    <w:p w14:paraId="605AE2FC" w14:textId="18CEF5DC" w:rsidR="00ED0BDC" w:rsidRDefault="00ED0BDC" w:rsidP="00ED0BDC">
      <w:pPr>
        <w:ind w:left="1134"/>
        <w:jc w:val="both"/>
        <w:rPr>
          <w:rFonts w:ascii="Times New Roman" w:hAnsi="Times New Roman"/>
          <w:sz w:val="22"/>
          <w:szCs w:val="22"/>
        </w:rPr>
      </w:pPr>
      <w:r w:rsidRPr="003D6B6C">
        <w:rPr>
          <w:rFonts w:ascii="Times New Roman" w:hAnsi="Times New Roman"/>
          <w:sz w:val="22"/>
          <w:szCs w:val="22"/>
        </w:rPr>
        <w:t xml:space="preserve">Payments shall </w:t>
      </w:r>
      <w:r>
        <w:rPr>
          <w:rFonts w:ascii="Times New Roman" w:hAnsi="Times New Roman"/>
          <w:sz w:val="22"/>
          <w:szCs w:val="22"/>
        </w:rPr>
        <w:t xml:space="preserve">be authorised and made by </w:t>
      </w:r>
      <w:r w:rsidRPr="0009338F">
        <w:rPr>
          <w:rFonts w:ascii="Times New Roman" w:hAnsi="Times New Roman"/>
          <w:sz w:val="22"/>
          <w:szCs w:val="22"/>
        </w:rPr>
        <w:t xml:space="preserve">Project manager </w:t>
      </w:r>
    </w:p>
    <w:p w14:paraId="786514C2" w14:textId="77777777" w:rsidR="00ED0BDC" w:rsidRPr="000B4B1D" w:rsidRDefault="00ED0BDC" w:rsidP="00ED0BDC">
      <w:pPr>
        <w:keepNext/>
        <w:keepLines/>
        <w:ind w:left="1129"/>
        <w:rPr>
          <w:rFonts w:ascii="Times New Roman" w:hAnsi="Times New Roman"/>
          <w:sz w:val="22"/>
          <w:szCs w:val="24"/>
        </w:rPr>
      </w:pPr>
      <w:r w:rsidRPr="000B4B1D">
        <w:rPr>
          <w:rFonts w:ascii="Times New Roman" w:hAnsi="Times New Roman"/>
          <w:sz w:val="22"/>
          <w:szCs w:val="24"/>
        </w:rPr>
        <w:t xml:space="preserve">Prof. </w:t>
      </w:r>
      <w:r>
        <w:rPr>
          <w:rFonts w:ascii="Times New Roman" w:hAnsi="Times New Roman"/>
          <w:sz w:val="22"/>
          <w:szCs w:val="24"/>
        </w:rPr>
        <w:t>Mitko Bogdanoski</w:t>
      </w:r>
    </w:p>
    <w:p w14:paraId="58DA5062" w14:textId="77777777" w:rsidR="00ED0BDC" w:rsidRPr="009B7E82" w:rsidRDefault="00ED0BDC" w:rsidP="00ED0BDC">
      <w:pPr>
        <w:spacing w:before="0" w:after="0"/>
        <w:ind w:left="409" w:firstLine="720"/>
        <w:jc w:val="both"/>
        <w:rPr>
          <w:rFonts w:ascii="Times New Roman" w:hAnsi="Times New Roman"/>
          <w:snapToGrid/>
          <w:sz w:val="22"/>
          <w:szCs w:val="22"/>
          <w:lang w:eastAsia="en-GB"/>
        </w:rPr>
      </w:pPr>
      <w:r w:rsidRPr="009B7E82">
        <w:rPr>
          <w:rFonts w:ascii="Times New Roman" w:hAnsi="Times New Roman"/>
          <w:snapToGrid/>
          <w:color w:val="000000"/>
          <w:sz w:val="22"/>
          <w:szCs w:val="22"/>
          <w:lang w:eastAsia="en-GB"/>
        </w:rPr>
        <w:t>Military academy „General Mihailo Apostolski “– Skopje</w:t>
      </w:r>
      <w:r w:rsidRPr="009B7E82">
        <w:rPr>
          <w:rFonts w:ascii="Times New Roman" w:hAnsi="Times New Roman"/>
          <w:snapToGrid/>
          <w:sz w:val="22"/>
          <w:szCs w:val="22"/>
          <w:lang w:eastAsia="en-GB"/>
        </w:rPr>
        <w:t xml:space="preserve"> </w:t>
      </w:r>
    </w:p>
    <w:p w14:paraId="4A4AADD2" w14:textId="77777777" w:rsidR="00ED0BDC" w:rsidRPr="000B4B1D" w:rsidRDefault="00ED0BDC" w:rsidP="00ED0BDC">
      <w:pPr>
        <w:tabs>
          <w:tab w:val="right" w:pos="9885"/>
        </w:tabs>
        <w:ind w:left="1134"/>
        <w:jc w:val="both"/>
        <w:rPr>
          <w:rFonts w:ascii="Times New Roman" w:hAnsi="Times New Roman"/>
          <w:sz w:val="22"/>
          <w:szCs w:val="24"/>
        </w:rPr>
      </w:pPr>
      <w:r>
        <w:rPr>
          <w:rFonts w:ascii="Times New Roman" w:hAnsi="Times New Roman"/>
          <w:sz w:val="22"/>
          <w:szCs w:val="24"/>
        </w:rPr>
        <w:t>Str. Vasko Karangeleski, BB</w:t>
      </w:r>
    </w:p>
    <w:p w14:paraId="2DFB328C" w14:textId="77777777" w:rsidR="00ED0BDC" w:rsidRPr="000B4B1D" w:rsidRDefault="00ED0BDC" w:rsidP="00ED0BDC">
      <w:pPr>
        <w:tabs>
          <w:tab w:val="right" w:pos="9885"/>
        </w:tabs>
        <w:ind w:left="1134"/>
        <w:jc w:val="both"/>
        <w:rPr>
          <w:rFonts w:ascii="Times New Roman" w:hAnsi="Times New Roman"/>
          <w:sz w:val="22"/>
          <w:szCs w:val="22"/>
        </w:rPr>
      </w:pPr>
      <w:r w:rsidRPr="000B4B1D">
        <w:rPr>
          <w:rFonts w:ascii="Times New Roman" w:hAnsi="Times New Roman"/>
          <w:sz w:val="22"/>
          <w:szCs w:val="24"/>
        </w:rPr>
        <w:t xml:space="preserve">1000 </w:t>
      </w:r>
      <w:smartTag w:uri="urn:schemas-microsoft-com:office:smarttags" w:element="place">
        <w:smartTag w:uri="urn:schemas-microsoft-com:office:smarttags" w:element="City">
          <w:r w:rsidRPr="000B4B1D">
            <w:rPr>
              <w:rFonts w:ascii="Times New Roman" w:hAnsi="Times New Roman"/>
              <w:sz w:val="22"/>
              <w:szCs w:val="24"/>
            </w:rPr>
            <w:t>Skopje</w:t>
          </w:r>
        </w:smartTag>
      </w:smartTag>
      <w:r w:rsidRPr="000B4B1D">
        <w:rPr>
          <w:rFonts w:ascii="Times New Roman" w:hAnsi="Times New Roman"/>
          <w:sz w:val="22"/>
          <w:szCs w:val="22"/>
        </w:rPr>
        <w:t>.</w:t>
      </w:r>
    </w:p>
    <w:p w14:paraId="56B1933E" w14:textId="77777777" w:rsidR="00ED0BDC" w:rsidRPr="003D6B6C" w:rsidRDefault="00ED0BDC" w:rsidP="00ED0BDC">
      <w:pPr>
        <w:ind w:left="1134"/>
        <w:jc w:val="both"/>
        <w:rPr>
          <w:rFonts w:ascii="Times New Roman" w:hAnsi="Times New Roman"/>
          <w:sz w:val="22"/>
          <w:szCs w:val="22"/>
        </w:rPr>
      </w:pPr>
    </w:p>
    <w:p w14:paraId="19C2C733" w14:textId="77777777" w:rsidR="00ED0BDC" w:rsidRPr="003D6B6C" w:rsidRDefault="00ED0BDC" w:rsidP="00ED0BDC">
      <w:pPr>
        <w:ind w:left="1134" w:hanging="709"/>
        <w:jc w:val="both"/>
        <w:rPr>
          <w:rFonts w:ascii="Times New Roman" w:hAnsi="Times New Roman"/>
          <w:sz w:val="22"/>
          <w:szCs w:val="22"/>
        </w:rPr>
      </w:pPr>
      <w:r w:rsidRPr="003D6B6C">
        <w:rPr>
          <w:rFonts w:ascii="Times New Roman" w:hAnsi="Times New Roman"/>
          <w:sz w:val="22"/>
          <w:szCs w:val="22"/>
        </w:rPr>
        <w:t>26.3</w:t>
      </w:r>
      <w:r w:rsidRPr="003D6B6C">
        <w:rPr>
          <w:rFonts w:ascii="Times New Roman" w:hAnsi="Times New Roman"/>
          <w:sz w:val="22"/>
          <w:szCs w:val="22"/>
        </w:rPr>
        <w:tab/>
      </w:r>
      <w:r w:rsidRPr="001F76B6">
        <w:rPr>
          <w:rFonts w:ascii="Times New Roman" w:hAnsi="Times New Roman"/>
          <w:sz w:val="22"/>
          <w:szCs w:val="22"/>
        </w:rPr>
        <w:t>By derogation, the final payment to the contractor of the amounts due shall be made within 90 days after receipt by the contracting authority of an invoice and of the application for the certificate of provisional acceptance</w:t>
      </w:r>
      <w:r>
        <w:rPr>
          <w:rFonts w:ascii="Times New Roman" w:hAnsi="Times New Roman"/>
          <w:sz w:val="22"/>
          <w:szCs w:val="22"/>
        </w:rPr>
        <w:t>.</w:t>
      </w:r>
    </w:p>
    <w:p w14:paraId="6060A759" w14:textId="77777777" w:rsidR="00ED0BDC" w:rsidRPr="003D6B6C" w:rsidRDefault="00ED0BDC" w:rsidP="00ED0BDC">
      <w:pPr>
        <w:ind w:left="1134" w:hanging="709"/>
        <w:jc w:val="both"/>
        <w:rPr>
          <w:rFonts w:ascii="Times New Roman" w:hAnsi="Times New Roman"/>
          <w:sz w:val="22"/>
          <w:szCs w:val="22"/>
        </w:rPr>
      </w:pPr>
      <w:r w:rsidRPr="003D6B6C">
        <w:rPr>
          <w:rFonts w:ascii="Times New Roman" w:hAnsi="Times New Roman"/>
          <w:sz w:val="22"/>
          <w:szCs w:val="22"/>
        </w:rPr>
        <w:t>26.5</w:t>
      </w:r>
      <w:r w:rsidRPr="003D6B6C">
        <w:rPr>
          <w:rFonts w:ascii="Times New Roman" w:hAnsi="Times New Roman"/>
          <w:sz w:val="22"/>
          <w:szCs w:val="22"/>
        </w:rPr>
        <w:tab/>
        <w:t xml:space="preserve">In order to obtain payments, the </w:t>
      </w:r>
      <w:r>
        <w:rPr>
          <w:rFonts w:ascii="Times New Roman" w:hAnsi="Times New Roman"/>
          <w:sz w:val="22"/>
          <w:szCs w:val="22"/>
        </w:rPr>
        <w:t>c</w:t>
      </w:r>
      <w:r w:rsidRPr="003D6B6C">
        <w:rPr>
          <w:rFonts w:ascii="Times New Roman" w:hAnsi="Times New Roman"/>
          <w:sz w:val="22"/>
          <w:szCs w:val="22"/>
        </w:rPr>
        <w:t>ontractor must forward to the authority referred to in paragraph 26.1 above:</w:t>
      </w:r>
    </w:p>
    <w:p w14:paraId="7700E788" w14:textId="77777777" w:rsidR="00ED0BDC" w:rsidRPr="003D6B6C" w:rsidRDefault="00ED0BDC" w:rsidP="00ED0BDC">
      <w:pPr>
        <w:ind w:left="1560" w:hanging="426"/>
        <w:jc w:val="both"/>
        <w:rPr>
          <w:rFonts w:ascii="Times New Roman" w:hAnsi="Times New Roman"/>
          <w:bCs/>
          <w:sz w:val="22"/>
          <w:szCs w:val="22"/>
        </w:rPr>
      </w:pPr>
      <w:r w:rsidRPr="003D6B6C">
        <w:rPr>
          <w:rFonts w:ascii="Times New Roman" w:hAnsi="Times New Roman"/>
          <w:sz w:val="22"/>
          <w:szCs w:val="22"/>
        </w:rPr>
        <w:t>a)</w:t>
      </w:r>
      <w:r w:rsidRPr="003D6B6C">
        <w:rPr>
          <w:rFonts w:ascii="Times New Roman" w:hAnsi="Times New Roman"/>
          <w:b/>
          <w:sz w:val="22"/>
          <w:szCs w:val="22"/>
        </w:rPr>
        <w:tab/>
      </w:r>
      <w:r w:rsidRPr="001F76B6">
        <w:rPr>
          <w:rFonts w:ascii="Times New Roman" w:hAnsi="Times New Roman"/>
          <w:bCs/>
          <w:sz w:val="22"/>
          <w:szCs w:val="22"/>
        </w:rPr>
        <w:t xml:space="preserve">By derogation from article </w:t>
      </w:r>
      <w:r w:rsidRPr="001F76B6">
        <w:rPr>
          <w:rFonts w:ascii="Times New Roman" w:hAnsi="Times New Roman"/>
          <w:sz w:val="22"/>
          <w:szCs w:val="22"/>
        </w:rPr>
        <w:t xml:space="preserve">26.5 of the general conditions, </w:t>
      </w:r>
      <w:r w:rsidRPr="001F76B6">
        <w:rPr>
          <w:rFonts w:ascii="Times New Roman" w:hAnsi="Times New Roman"/>
          <w:bCs/>
          <w:sz w:val="22"/>
          <w:szCs w:val="22"/>
        </w:rPr>
        <w:t>no pre-financing guarantee is required</w:t>
      </w:r>
      <w:r>
        <w:rPr>
          <w:rFonts w:ascii="Times New Roman" w:hAnsi="Times New Roman"/>
          <w:bCs/>
          <w:sz w:val="22"/>
          <w:szCs w:val="22"/>
        </w:rPr>
        <w:t>.</w:t>
      </w:r>
    </w:p>
    <w:p w14:paraId="78BF4350" w14:textId="77777777" w:rsidR="00ED0BDC" w:rsidRPr="003D6B6C" w:rsidRDefault="00ED0BDC" w:rsidP="00ED0BDC">
      <w:pPr>
        <w:spacing w:before="0" w:after="0"/>
        <w:ind w:left="1985" w:hanging="284"/>
        <w:jc w:val="both"/>
        <w:rPr>
          <w:rFonts w:ascii="Times New Roman" w:hAnsi="Times New Roman"/>
          <w:bCs/>
          <w:sz w:val="22"/>
          <w:szCs w:val="22"/>
          <w:highlight w:val="yellow"/>
        </w:rPr>
      </w:pPr>
    </w:p>
    <w:p w14:paraId="5F99F4B1" w14:textId="5BE04185" w:rsidR="000B4B1D" w:rsidRPr="000B4B1D" w:rsidRDefault="00ED0BDC" w:rsidP="00353F6F">
      <w:pPr>
        <w:tabs>
          <w:tab w:val="right" w:pos="9885"/>
        </w:tabs>
        <w:ind w:left="1134" w:hanging="709"/>
        <w:jc w:val="both"/>
        <w:rPr>
          <w:rFonts w:ascii="Times New Roman" w:hAnsi="Times New Roman"/>
          <w:b/>
          <w:sz w:val="22"/>
          <w:szCs w:val="22"/>
        </w:rPr>
      </w:pPr>
      <w:r w:rsidRPr="003D6B6C">
        <w:rPr>
          <w:rFonts w:ascii="Times New Roman" w:hAnsi="Times New Roman"/>
          <w:sz w:val="22"/>
          <w:szCs w:val="22"/>
        </w:rPr>
        <w:t>26.</w:t>
      </w:r>
      <w:r>
        <w:rPr>
          <w:rFonts w:ascii="Times New Roman" w:hAnsi="Times New Roman"/>
          <w:sz w:val="22"/>
          <w:szCs w:val="22"/>
        </w:rPr>
        <w:t>6</w:t>
      </w:r>
      <w:r w:rsidRPr="003D6B6C">
        <w:rPr>
          <w:rFonts w:ascii="Times New Roman" w:hAnsi="Times New Roman"/>
          <w:b/>
          <w:sz w:val="22"/>
          <w:szCs w:val="22"/>
        </w:rPr>
        <w:tab/>
      </w:r>
      <w:r w:rsidRPr="001F76B6">
        <w:rPr>
          <w:rFonts w:ascii="Times New Roman" w:hAnsi="Times New Roman"/>
          <w:color w:val="000000"/>
          <w:sz w:val="22"/>
          <w:szCs w:val="22"/>
        </w:rPr>
        <w:t xml:space="preserve">The present contract does not include a price revision </w:t>
      </w:r>
      <w:r w:rsidRPr="00004F8A">
        <w:rPr>
          <w:rFonts w:ascii="Times New Roman" w:hAnsi="Times New Roman"/>
          <w:color w:val="000000"/>
          <w:sz w:val="22"/>
          <w:szCs w:val="22"/>
        </w:rPr>
        <w:t>clause.</w:t>
      </w:r>
    </w:p>
    <w:p w14:paraId="143A9AF1" w14:textId="77777777" w:rsidR="00ED0BDC" w:rsidRPr="003D6B6C" w:rsidRDefault="00ED0BDC" w:rsidP="00ED0BDC">
      <w:pPr>
        <w:spacing w:before="240"/>
        <w:ind w:left="1134" w:hanging="1134"/>
        <w:jc w:val="both"/>
        <w:rPr>
          <w:rFonts w:ascii="Times New Roman" w:hAnsi="Times New Roman"/>
          <w:b/>
          <w:sz w:val="24"/>
          <w:szCs w:val="24"/>
        </w:rPr>
      </w:pPr>
      <w:bookmarkStart w:id="5" w:name="_Toc124934913"/>
      <w:bookmarkEnd w:id="4"/>
      <w:r w:rsidRPr="003D6B6C">
        <w:rPr>
          <w:rFonts w:ascii="Times New Roman" w:hAnsi="Times New Roman"/>
          <w:b/>
          <w:sz w:val="24"/>
          <w:szCs w:val="24"/>
        </w:rPr>
        <w:t>Article 28</w:t>
      </w:r>
      <w:r w:rsidRPr="003D6B6C">
        <w:rPr>
          <w:rFonts w:ascii="Times New Roman" w:hAnsi="Times New Roman"/>
          <w:b/>
          <w:sz w:val="24"/>
          <w:szCs w:val="24"/>
        </w:rPr>
        <w:tab/>
        <w:t>Delayed payments</w:t>
      </w:r>
    </w:p>
    <w:p w14:paraId="2756C6C6" w14:textId="77777777" w:rsidR="00ED0BDC" w:rsidRDefault="00ED0BDC" w:rsidP="00ED0BDC">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lastRenderedPageBreak/>
        <w:t>28.2</w:t>
      </w:r>
      <w:r w:rsidRPr="003D6B6C">
        <w:rPr>
          <w:rFonts w:ascii="Times New Roman" w:hAnsi="Times New Roman"/>
          <w:b/>
          <w:sz w:val="22"/>
          <w:szCs w:val="22"/>
        </w:rPr>
        <w:tab/>
      </w:r>
      <w:r w:rsidRPr="00B04379">
        <w:rPr>
          <w:rFonts w:ascii="Times New Roman" w:hAnsi="Times New Roman"/>
          <w:snapToGrid/>
          <w:sz w:val="22"/>
          <w:szCs w:val="22"/>
          <w:lang w:eastAsia="en-GB"/>
        </w:rPr>
        <w:t>No derogation from Article 28.2 of the General Conditions shall apply</w:t>
      </w:r>
      <w:r>
        <w:rPr>
          <w:rFonts w:ascii="Times New Roman" w:hAnsi="Times New Roman"/>
          <w:snapToGrid/>
          <w:sz w:val="22"/>
          <w:szCs w:val="22"/>
          <w:lang w:eastAsia="en-GB"/>
        </w:rPr>
        <w:t>.</w:t>
      </w:r>
    </w:p>
    <w:p w14:paraId="47146EC0" w14:textId="77777777" w:rsidR="00ED0BDC" w:rsidRDefault="00ED0BDC" w:rsidP="00ED0BDC">
      <w:pPr>
        <w:autoSpaceDE w:val="0"/>
        <w:autoSpaceDN w:val="0"/>
        <w:adjustRightInd w:val="0"/>
        <w:ind w:left="1134" w:hanging="709"/>
        <w:jc w:val="both"/>
        <w:rPr>
          <w:rFonts w:ascii="Times New Roman" w:hAnsi="Times New Roman"/>
          <w:snapToGrid/>
          <w:sz w:val="22"/>
          <w:szCs w:val="22"/>
          <w:lang w:eastAsia="en-GB"/>
        </w:rPr>
      </w:pPr>
    </w:p>
    <w:p w14:paraId="75E986E6" w14:textId="77777777" w:rsidR="00ED0BDC" w:rsidRPr="003D6B6C" w:rsidRDefault="00ED0BDC" w:rsidP="00ED0BDC">
      <w:pPr>
        <w:autoSpaceDE w:val="0"/>
        <w:autoSpaceDN w:val="0"/>
        <w:adjustRightInd w:val="0"/>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5"/>
    </w:p>
    <w:p w14:paraId="1AE92CE1" w14:textId="43B0ECF7" w:rsidR="00ED0BDC" w:rsidRDefault="00ED0BDC" w:rsidP="00ED0BDC">
      <w:pPr>
        <w:ind w:left="1134" w:hanging="1134"/>
        <w:jc w:val="both"/>
        <w:rPr>
          <w:rFonts w:ascii="Times New Roman" w:hAnsi="Times New Roman"/>
          <w:sz w:val="22"/>
          <w:szCs w:val="22"/>
        </w:rPr>
      </w:pPr>
      <w:r w:rsidRPr="003D6B6C">
        <w:rPr>
          <w:rFonts w:ascii="Times New Roman" w:hAnsi="Times New Roman"/>
          <w:sz w:val="22"/>
          <w:szCs w:val="22"/>
        </w:rPr>
        <w:t>29.5/6/7</w:t>
      </w:r>
      <w:r>
        <w:rPr>
          <w:rFonts w:ascii="Times New Roman" w:hAnsi="Times New Roman"/>
          <w:sz w:val="22"/>
          <w:szCs w:val="22"/>
        </w:rPr>
        <w:tab/>
      </w:r>
      <w:r w:rsidRPr="001F04F5">
        <w:rPr>
          <w:rFonts w:ascii="Times New Roman" w:hAnsi="Times New Roman"/>
          <w:sz w:val="22"/>
          <w:szCs w:val="22"/>
        </w:rPr>
        <w:t xml:space="preserve">Delivery of </w:t>
      </w:r>
      <w:r>
        <w:rPr>
          <w:rFonts w:ascii="Times New Roman" w:hAnsi="Times New Roman"/>
          <w:sz w:val="22"/>
          <w:szCs w:val="22"/>
        </w:rPr>
        <w:t xml:space="preserve">the </w:t>
      </w:r>
      <w:r w:rsidRPr="001F04F5">
        <w:rPr>
          <w:rFonts w:ascii="Times New Roman" w:hAnsi="Times New Roman"/>
          <w:sz w:val="22"/>
          <w:szCs w:val="22"/>
        </w:rPr>
        <w:t>vehic</w:t>
      </w:r>
      <w:r>
        <w:rPr>
          <w:rFonts w:ascii="Times New Roman" w:hAnsi="Times New Roman"/>
          <w:sz w:val="22"/>
          <w:szCs w:val="22"/>
        </w:rPr>
        <w:t>le</w:t>
      </w:r>
      <w:r w:rsidRPr="001F04F5">
        <w:rPr>
          <w:rFonts w:ascii="Times New Roman" w:hAnsi="Times New Roman"/>
          <w:sz w:val="22"/>
          <w:szCs w:val="22"/>
        </w:rPr>
        <w:t xml:space="preserve"> shall be accompanied </w:t>
      </w:r>
      <w:r>
        <w:rPr>
          <w:rFonts w:ascii="Times New Roman" w:hAnsi="Times New Roman"/>
          <w:sz w:val="22"/>
          <w:szCs w:val="22"/>
        </w:rPr>
        <w:t>with these documents:</w:t>
      </w:r>
    </w:p>
    <w:p w14:paraId="7E6B6902" w14:textId="77777777" w:rsidR="00ED0BDC" w:rsidRPr="00256E5E" w:rsidRDefault="00ED0BDC" w:rsidP="00ED0BDC">
      <w:pPr>
        <w:ind w:left="1134" w:hanging="1134"/>
        <w:jc w:val="both"/>
        <w:rPr>
          <w:rFonts w:ascii="Times New Roman" w:hAnsi="Times New Roman"/>
          <w:sz w:val="22"/>
          <w:szCs w:val="22"/>
        </w:rPr>
      </w:pPr>
      <w:bookmarkStart w:id="6" w:name="_Toc124934914"/>
      <w:r w:rsidRPr="00256E5E">
        <w:rPr>
          <w:rFonts w:ascii="Times New Roman" w:hAnsi="Times New Roman"/>
          <w:sz w:val="22"/>
          <w:szCs w:val="22"/>
        </w:rPr>
        <w:t>•</w:t>
      </w:r>
      <w:r w:rsidRPr="00256E5E">
        <w:rPr>
          <w:rFonts w:ascii="Times New Roman" w:hAnsi="Times New Roman"/>
          <w:sz w:val="22"/>
          <w:szCs w:val="22"/>
        </w:rPr>
        <w:tab/>
        <w:t>Invoice (with the name and reference number of the project),</w:t>
      </w:r>
    </w:p>
    <w:p w14:paraId="79A8778C" w14:textId="77777777" w:rsidR="00ED0BDC" w:rsidRPr="00256E5E" w:rsidRDefault="00ED0BDC" w:rsidP="00ED0BDC">
      <w:pPr>
        <w:ind w:left="1530" w:hanging="360"/>
        <w:jc w:val="both"/>
        <w:rPr>
          <w:rFonts w:ascii="Times New Roman" w:hAnsi="Times New Roman"/>
          <w:sz w:val="22"/>
          <w:szCs w:val="22"/>
        </w:rPr>
      </w:pPr>
      <w:r w:rsidRPr="00256E5E">
        <w:rPr>
          <w:rFonts w:ascii="Times New Roman" w:hAnsi="Times New Roman"/>
          <w:sz w:val="22"/>
          <w:szCs w:val="22"/>
        </w:rPr>
        <w:t>•</w:t>
      </w:r>
      <w:r w:rsidRPr="00256E5E">
        <w:rPr>
          <w:rFonts w:ascii="Times New Roman" w:hAnsi="Times New Roman"/>
          <w:sz w:val="22"/>
          <w:szCs w:val="22"/>
        </w:rPr>
        <w:tab/>
        <w:t>Warranty Certificate</w:t>
      </w:r>
      <w:r>
        <w:rPr>
          <w:rFonts w:ascii="Times New Roman" w:hAnsi="Times New Roman"/>
          <w:sz w:val="22"/>
          <w:szCs w:val="22"/>
        </w:rPr>
        <w:t>,</w:t>
      </w:r>
    </w:p>
    <w:p w14:paraId="4EFF1F95" w14:textId="77777777" w:rsidR="00ED0BDC" w:rsidRPr="00256E5E" w:rsidRDefault="00ED0BDC" w:rsidP="00ED0BDC">
      <w:pPr>
        <w:ind w:left="1530" w:hanging="360"/>
        <w:jc w:val="both"/>
        <w:rPr>
          <w:rFonts w:ascii="Times New Roman" w:hAnsi="Times New Roman"/>
          <w:sz w:val="22"/>
          <w:szCs w:val="22"/>
        </w:rPr>
      </w:pPr>
      <w:r w:rsidRPr="00256E5E">
        <w:rPr>
          <w:rFonts w:ascii="Times New Roman" w:hAnsi="Times New Roman"/>
          <w:sz w:val="22"/>
          <w:szCs w:val="22"/>
        </w:rPr>
        <w:t>•</w:t>
      </w:r>
      <w:r w:rsidRPr="00256E5E">
        <w:rPr>
          <w:rFonts w:ascii="Times New Roman" w:hAnsi="Times New Roman"/>
          <w:sz w:val="22"/>
          <w:szCs w:val="22"/>
        </w:rPr>
        <w:tab/>
        <w:t>Certificate/declaration of conformity, maintenance and u</w:t>
      </w:r>
      <w:r>
        <w:rPr>
          <w:rFonts w:ascii="Times New Roman" w:hAnsi="Times New Roman"/>
          <w:sz w:val="22"/>
          <w:szCs w:val="22"/>
        </w:rPr>
        <w:t>ser manuals in English/Macedonian language,</w:t>
      </w:r>
    </w:p>
    <w:p w14:paraId="2C6B7C5C" w14:textId="77777777" w:rsidR="00ED0BDC" w:rsidRDefault="00ED0BDC" w:rsidP="00ED0BDC">
      <w:pPr>
        <w:ind w:left="1530" w:hanging="360"/>
        <w:jc w:val="both"/>
        <w:rPr>
          <w:rFonts w:ascii="Times New Roman" w:hAnsi="Times New Roman"/>
          <w:sz w:val="22"/>
          <w:szCs w:val="22"/>
        </w:rPr>
      </w:pPr>
      <w:r w:rsidRPr="00256E5E">
        <w:rPr>
          <w:rFonts w:ascii="Times New Roman" w:hAnsi="Times New Roman"/>
          <w:sz w:val="22"/>
          <w:szCs w:val="22"/>
        </w:rPr>
        <w:t>•</w:t>
      </w:r>
      <w:r w:rsidRPr="00256E5E">
        <w:rPr>
          <w:rFonts w:ascii="Times New Roman" w:hAnsi="Times New Roman"/>
          <w:sz w:val="22"/>
          <w:szCs w:val="22"/>
        </w:rPr>
        <w:tab/>
        <w:t xml:space="preserve">Certificate of the Road Traffic Safety Agency on vehicles testing, Registration certificate for motor vehicles necessary for the registration of a vehicle. </w:t>
      </w:r>
    </w:p>
    <w:p w14:paraId="328E981C" w14:textId="77777777" w:rsidR="00ED0BDC" w:rsidRDefault="00ED0BDC" w:rsidP="00ED0BDC">
      <w:pPr>
        <w:tabs>
          <w:tab w:val="left" w:pos="1170"/>
        </w:tabs>
        <w:ind w:left="1170"/>
        <w:jc w:val="both"/>
        <w:rPr>
          <w:rFonts w:ascii="Times New Roman" w:hAnsi="Times New Roman"/>
          <w:sz w:val="22"/>
          <w:szCs w:val="22"/>
        </w:rPr>
      </w:pPr>
      <w:r>
        <w:rPr>
          <w:rFonts w:ascii="Times New Roman" w:hAnsi="Times New Roman"/>
          <w:sz w:val="22"/>
          <w:szCs w:val="22"/>
        </w:rPr>
        <w:t xml:space="preserve">Each vehicle </w:t>
      </w:r>
      <w:r w:rsidRPr="00A863D4">
        <w:rPr>
          <w:rFonts w:ascii="Times New Roman" w:hAnsi="Times New Roman"/>
          <w:sz w:val="22"/>
          <w:szCs w:val="22"/>
        </w:rPr>
        <w:t>must be marked in accordance with the Communication and Visibility Requirements for EU-financed external actions published by the European Commission (Communication and Visibility Requirements for EU External Actions | International Partnerships (europa.eu)).</w:t>
      </w:r>
    </w:p>
    <w:p w14:paraId="236E36FA" w14:textId="77777777" w:rsidR="00ED0BDC" w:rsidRPr="003D6B6C" w:rsidRDefault="00ED0BDC" w:rsidP="00ED0BDC">
      <w:pPr>
        <w:ind w:left="1134" w:hanging="1134"/>
        <w:jc w:val="both"/>
        <w:rPr>
          <w:rFonts w:ascii="Times New Roman" w:hAnsi="Times New Roman"/>
          <w:b/>
          <w:sz w:val="24"/>
          <w:szCs w:val="24"/>
        </w:rPr>
      </w:pPr>
      <w:r w:rsidRPr="003D6B6C">
        <w:rPr>
          <w:rFonts w:ascii="Times New Roman" w:hAnsi="Times New Roman"/>
          <w:b/>
          <w:sz w:val="24"/>
          <w:szCs w:val="24"/>
        </w:rPr>
        <w:t>Article 31</w:t>
      </w:r>
      <w:r w:rsidRPr="003D6B6C">
        <w:rPr>
          <w:rFonts w:ascii="Times New Roman" w:hAnsi="Times New Roman"/>
          <w:b/>
          <w:sz w:val="24"/>
          <w:szCs w:val="24"/>
        </w:rPr>
        <w:tab/>
        <w:t>Provisional acceptance</w:t>
      </w:r>
      <w:bookmarkEnd w:id="6"/>
    </w:p>
    <w:p w14:paraId="563FCF43" w14:textId="77777777" w:rsidR="00ED0BDC" w:rsidRPr="003D6B6C" w:rsidRDefault="00ED0BDC" w:rsidP="00ED0BDC">
      <w:pPr>
        <w:ind w:left="1134"/>
        <w:jc w:val="both"/>
        <w:rPr>
          <w:rFonts w:ascii="Times New Roman" w:hAnsi="Times New Roman"/>
          <w:sz w:val="22"/>
          <w:szCs w:val="22"/>
        </w:rPr>
      </w:pPr>
      <w:r w:rsidRPr="003D6B6C">
        <w:rPr>
          <w:rFonts w:ascii="Times New Roman" w:hAnsi="Times New Roman"/>
          <w:sz w:val="22"/>
          <w:szCs w:val="22"/>
        </w:rPr>
        <w:t xml:space="preserve">The </w:t>
      </w:r>
      <w:r>
        <w:rPr>
          <w:rFonts w:ascii="Times New Roman" w:hAnsi="Times New Roman"/>
          <w:sz w:val="22"/>
          <w:szCs w:val="22"/>
        </w:rPr>
        <w:t>c</w:t>
      </w:r>
      <w:r w:rsidRPr="003D6B6C">
        <w:rPr>
          <w:rFonts w:ascii="Times New Roman" w:hAnsi="Times New Roman"/>
          <w:sz w:val="22"/>
          <w:szCs w:val="22"/>
        </w:rPr>
        <w:t xml:space="preserve">ertificate of </w:t>
      </w:r>
      <w:r>
        <w:rPr>
          <w:rFonts w:ascii="Times New Roman" w:hAnsi="Times New Roman"/>
          <w:sz w:val="22"/>
          <w:szCs w:val="22"/>
        </w:rPr>
        <w:t>p</w:t>
      </w:r>
      <w:r w:rsidRPr="003D6B6C">
        <w:rPr>
          <w:rFonts w:ascii="Times New Roman" w:hAnsi="Times New Roman"/>
          <w:sz w:val="22"/>
          <w:szCs w:val="22"/>
        </w:rPr>
        <w:t xml:space="preserve">rovisional </w:t>
      </w:r>
      <w:r>
        <w:rPr>
          <w:rFonts w:ascii="Times New Roman" w:hAnsi="Times New Roman"/>
          <w:sz w:val="22"/>
          <w:szCs w:val="22"/>
        </w:rPr>
        <w:t>a</w:t>
      </w:r>
      <w:r w:rsidRPr="003D6B6C">
        <w:rPr>
          <w:rFonts w:ascii="Times New Roman" w:hAnsi="Times New Roman"/>
          <w:sz w:val="22"/>
          <w:szCs w:val="22"/>
        </w:rPr>
        <w:t>cceptance must be issued using the template in Annex </w:t>
      </w:r>
      <w:r>
        <w:rPr>
          <w:rFonts w:ascii="Times New Roman" w:hAnsi="Times New Roman"/>
          <w:sz w:val="22"/>
          <w:szCs w:val="22"/>
        </w:rPr>
        <w:t xml:space="preserve">C11. </w:t>
      </w:r>
      <w:r w:rsidRPr="00004F8A">
        <w:rPr>
          <w:rFonts w:ascii="Times New Roman" w:hAnsi="Times New Roman"/>
          <w:sz w:val="22"/>
          <w:szCs w:val="22"/>
        </w:rPr>
        <w:t>The equipment shall be taken over by the Contracting Authority when they have been delivered in accordance with the Contract, and have been commissioned as the case may be, have satisfactorily passed the required tests, and a certificate of provisional acceptance has been issued or is deemed to be issued. The Contracting Authority may appoint its representative to perform provisional acceptance /inspection on its behalf.</w:t>
      </w:r>
    </w:p>
    <w:p w14:paraId="68FF3140" w14:textId="77777777" w:rsidR="00ED0BDC" w:rsidRPr="003D6B6C" w:rsidRDefault="00ED0BDC" w:rsidP="00ED0BDC">
      <w:pPr>
        <w:autoSpaceDE w:val="0"/>
        <w:autoSpaceDN w:val="0"/>
        <w:adjustRightInd w:val="0"/>
        <w:spacing w:before="0"/>
        <w:rPr>
          <w:rFonts w:ascii="Times New Roman" w:hAnsi="Times New Roman"/>
          <w:sz w:val="22"/>
          <w:szCs w:val="22"/>
        </w:rPr>
      </w:pPr>
    </w:p>
    <w:p w14:paraId="21116461" w14:textId="77777777" w:rsidR="00ED0BDC" w:rsidRPr="003D6B6C" w:rsidRDefault="00ED0BDC" w:rsidP="00ED0BDC">
      <w:pPr>
        <w:spacing w:before="240"/>
        <w:ind w:left="1134" w:hanging="1134"/>
        <w:jc w:val="both"/>
        <w:rPr>
          <w:rFonts w:ascii="Times New Roman" w:hAnsi="Times New Roman"/>
          <w:b/>
          <w:sz w:val="24"/>
          <w:szCs w:val="24"/>
        </w:rPr>
      </w:pPr>
      <w:bookmarkStart w:id="7"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7"/>
      <w:r w:rsidRPr="003D6B6C">
        <w:rPr>
          <w:rFonts w:ascii="Times New Roman" w:hAnsi="Times New Roman"/>
          <w:b/>
          <w:sz w:val="24"/>
          <w:szCs w:val="24"/>
        </w:rPr>
        <w:t xml:space="preserve"> obligations</w:t>
      </w:r>
    </w:p>
    <w:p w14:paraId="3344A7F1" w14:textId="2E74A1A0" w:rsidR="00ED0BDC" w:rsidRDefault="00ED0BDC" w:rsidP="00ED0BDC">
      <w:pPr>
        <w:ind w:left="1134" w:hanging="708"/>
        <w:jc w:val="both"/>
        <w:rPr>
          <w:rFonts w:ascii="Times New Roman" w:hAnsi="Times New Roman"/>
          <w:sz w:val="22"/>
          <w:szCs w:val="22"/>
        </w:rPr>
      </w:pPr>
      <w:r>
        <w:rPr>
          <w:rFonts w:ascii="Times New Roman" w:hAnsi="Times New Roman"/>
          <w:sz w:val="22"/>
          <w:szCs w:val="22"/>
        </w:rPr>
        <w:t>32.6</w:t>
      </w:r>
      <w:r>
        <w:rPr>
          <w:rFonts w:ascii="Times New Roman" w:hAnsi="Times New Roman"/>
          <w:sz w:val="22"/>
          <w:szCs w:val="22"/>
        </w:rPr>
        <w:tab/>
      </w:r>
      <w:r w:rsidRPr="001F32C3">
        <w:rPr>
          <w:rFonts w:ascii="Times New Roman" w:hAnsi="Times New Roman"/>
          <w:sz w:val="22"/>
          <w:szCs w:val="22"/>
        </w:rPr>
        <w:t>The Contractor shall warrant that the suppl</w:t>
      </w:r>
      <w:r>
        <w:rPr>
          <w:rFonts w:ascii="Times New Roman" w:hAnsi="Times New Roman"/>
          <w:sz w:val="22"/>
          <w:szCs w:val="22"/>
        </w:rPr>
        <w:t>y</w:t>
      </w:r>
      <w:r w:rsidRPr="001F32C3">
        <w:rPr>
          <w:rFonts w:ascii="Times New Roman" w:hAnsi="Times New Roman"/>
          <w:sz w:val="22"/>
          <w:szCs w:val="22"/>
        </w:rPr>
        <w:t xml:space="preserve"> </w:t>
      </w:r>
      <w:r>
        <w:rPr>
          <w:rFonts w:ascii="Times New Roman" w:hAnsi="Times New Roman"/>
          <w:sz w:val="22"/>
          <w:szCs w:val="22"/>
        </w:rPr>
        <w:t>is</w:t>
      </w:r>
      <w:r w:rsidRPr="001F32C3">
        <w:rPr>
          <w:rFonts w:ascii="Times New Roman" w:hAnsi="Times New Roman"/>
          <w:sz w:val="22"/>
          <w:szCs w:val="22"/>
        </w:rPr>
        <w:t xml:space="preserve"> new, unused, of the most recent models and incorporate all recent improvements in design and materials. </w:t>
      </w:r>
    </w:p>
    <w:p w14:paraId="6BEBA60F" w14:textId="77777777" w:rsidR="00ED0BDC" w:rsidRPr="003D6B6C" w:rsidRDefault="00ED0BDC" w:rsidP="00ED0BDC">
      <w:pPr>
        <w:ind w:left="1134" w:hanging="708"/>
        <w:jc w:val="both"/>
        <w:rPr>
          <w:rFonts w:ascii="Times New Roman" w:hAnsi="Times New Roman"/>
          <w:sz w:val="22"/>
          <w:szCs w:val="22"/>
        </w:rPr>
      </w:pPr>
      <w:r>
        <w:rPr>
          <w:rFonts w:ascii="Times New Roman" w:hAnsi="Times New Roman"/>
          <w:sz w:val="22"/>
          <w:szCs w:val="22"/>
        </w:rPr>
        <w:t>32.7     The warranty must remain valid for</w:t>
      </w:r>
      <w:r w:rsidRPr="000A69F6">
        <w:rPr>
          <w:rFonts w:ascii="Times New Roman" w:hAnsi="Times New Roman"/>
          <w:sz w:val="22"/>
          <w:szCs w:val="22"/>
        </w:rPr>
        <w:t xml:space="preserve"> two years</w:t>
      </w:r>
      <w:r w:rsidRPr="003D6B6C">
        <w:rPr>
          <w:rFonts w:ascii="Times New Roman" w:hAnsi="Times New Roman"/>
          <w:sz w:val="22"/>
          <w:szCs w:val="22"/>
        </w:rPr>
        <w:t xml:space="preserve"> after provisional acceptance.</w:t>
      </w:r>
    </w:p>
    <w:p w14:paraId="4A4E81AA" w14:textId="77777777" w:rsidR="00ED0BDC" w:rsidRPr="003D6B6C" w:rsidRDefault="00ED0BDC" w:rsidP="00ED0BDC">
      <w:pPr>
        <w:spacing w:before="240"/>
        <w:ind w:left="1134" w:hanging="1134"/>
        <w:jc w:val="both"/>
        <w:rPr>
          <w:rFonts w:ascii="Times New Roman" w:hAnsi="Times New Roman"/>
          <w:b/>
          <w:sz w:val="24"/>
          <w:szCs w:val="24"/>
        </w:rPr>
      </w:pPr>
      <w:bookmarkStart w:id="8" w:name="_Toc119839451"/>
      <w:bookmarkStart w:id="9" w:name="_Toc124934916"/>
      <w:r w:rsidRPr="003D6B6C">
        <w:rPr>
          <w:rFonts w:ascii="Times New Roman" w:hAnsi="Times New Roman"/>
          <w:b/>
          <w:sz w:val="24"/>
          <w:szCs w:val="24"/>
        </w:rPr>
        <w:t>Article 33</w:t>
      </w:r>
      <w:r w:rsidRPr="003D6B6C">
        <w:rPr>
          <w:rFonts w:ascii="Times New Roman" w:hAnsi="Times New Roman"/>
          <w:b/>
          <w:sz w:val="24"/>
          <w:szCs w:val="24"/>
        </w:rPr>
        <w:tab/>
        <w:t>After-sales service</w:t>
      </w:r>
      <w:bookmarkEnd w:id="8"/>
      <w:bookmarkEnd w:id="9"/>
    </w:p>
    <w:p w14:paraId="40D1261B" w14:textId="77777777" w:rsidR="00ED0BDC" w:rsidRPr="003D6B6C" w:rsidRDefault="00ED0BDC" w:rsidP="00ED0BDC">
      <w:pPr>
        <w:ind w:left="1134" w:hanging="708"/>
        <w:jc w:val="both"/>
        <w:rPr>
          <w:rFonts w:ascii="Times New Roman" w:hAnsi="Times New Roman"/>
          <w:sz w:val="22"/>
          <w:szCs w:val="22"/>
        </w:rPr>
      </w:pPr>
      <w:r w:rsidRPr="003D6B6C">
        <w:rPr>
          <w:rFonts w:ascii="Times New Roman" w:hAnsi="Times New Roman"/>
          <w:sz w:val="22"/>
          <w:szCs w:val="22"/>
        </w:rPr>
        <w:t>33.1</w:t>
      </w:r>
      <w:r w:rsidRPr="003D6B6C">
        <w:rPr>
          <w:rFonts w:ascii="Times New Roman" w:hAnsi="Times New Roman"/>
          <w:sz w:val="22"/>
          <w:szCs w:val="22"/>
        </w:rPr>
        <w:tab/>
      </w:r>
      <w:r>
        <w:rPr>
          <w:rFonts w:ascii="Times New Roman" w:hAnsi="Times New Roman"/>
          <w:sz w:val="22"/>
          <w:szCs w:val="22"/>
        </w:rPr>
        <w:t>No derogation from General Conditions.</w:t>
      </w:r>
    </w:p>
    <w:p w14:paraId="32AFC15C" w14:textId="77777777" w:rsidR="00ED0BDC" w:rsidRPr="003D6B6C" w:rsidRDefault="00ED0BDC" w:rsidP="00ED0BDC">
      <w:pPr>
        <w:spacing w:before="240"/>
        <w:ind w:left="1134" w:hanging="1134"/>
        <w:jc w:val="both"/>
        <w:rPr>
          <w:rFonts w:ascii="Times New Roman" w:hAnsi="Times New Roman"/>
          <w:b/>
          <w:sz w:val="24"/>
          <w:szCs w:val="24"/>
        </w:rPr>
      </w:pPr>
      <w:bookmarkStart w:id="10" w:name="_Toc124934917"/>
      <w:r w:rsidRPr="003D6B6C">
        <w:rPr>
          <w:rFonts w:ascii="Times New Roman" w:hAnsi="Times New Roman"/>
          <w:b/>
          <w:sz w:val="24"/>
          <w:szCs w:val="24"/>
        </w:rPr>
        <w:t>Article 40</w:t>
      </w:r>
      <w:r w:rsidRPr="003D6B6C">
        <w:rPr>
          <w:rFonts w:ascii="Times New Roman" w:hAnsi="Times New Roman"/>
          <w:b/>
          <w:sz w:val="24"/>
          <w:szCs w:val="24"/>
        </w:rPr>
        <w:tab/>
        <w:t>Settlement of disputes</w:t>
      </w:r>
      <w:bookmarkEnd w:id="10"/>
    </w:p>
    <w:p w14:paraId="1B99C150" w14:textId="51562333" w:rsidR="00ED0BDC" w:rsidRPr="003D6B6C" w:rsidRDefault="00ED0BDC" w:rsidP="00ED0BDC">
      <w:pPr>
        <w:ind w:left="1134" w:hanging="708"/>
        <w:jc w:val="both"/>
        <w:rPr>
          <w:rFonts w:ascii="Times New Roman" w:hAnsi="Times New Roman"/>
          <w:sz w:val="22"/>
          <w:szCs w:val="22"/>
        </w:rPr>
      </w:pPr>
      <w:r w:rsidRPr="003D6B6C">
        <w:rPr>
          <w:rFonts w:ascii="Times New Roman" w:hAnsi="Times New Roman"/>
          <w:sz w:val="22"/>
          <w:szCs w:val="22"/>
        </w:rPr>
        <w:t>40.4</w:t>
      </w:r>
      <w:r w:rsidRPr="003D6B6C">
        <w:rPr>
          <w:rFonts w:ascii="Times New Roman" w:hAnsi="Times New Roman"/>
          <w:sz w:val="22"/>
          <w:szCs w:val="22"/>
        </w:rPr>
        <w:tab/>
      </w:r>
      <w:r w:rsidRPr="00037FF8">
        <w:rPr>
          <w:rFonts w:ascii="Times New Roman" w:hAnsi="Times New Roman"/>
          <w:sz w:val="22"/>
          <w:szCs w:val="22"/>
        </w:rPr>
        <w:t>Any disputes arising out of or relating to this contract which cannot be settled otherwise shall be referred to the exclusive jurisdiction of of The Republic</w:t>
      </w:r>
      <w:r>
        <w:rPr>
          <w:rFonts w:ascii="Times New Roman" w:hAnsi="Times New Roman"/>
          <w:sz w:val="22"/>
          <w:szCs w:val="22"/>
        </w:rPr>
        <w:t xml:space="preserve"> </w:t>
      </w:r>
      <w:r w:rsidRPr="00037FF8">
        <w:rPr>
          <w:rFonts w:ascii="Times New Roman" w:hAnsi="Times New Roman"/>
          <w:sz w:val="22"/>
          <w:szCs w:val="22"/>
        </w:rPr>
        <w:t>of North Macedoniain in accordance with the national legislation of the state of the contracting authority.</w:t>
      </w:r>
    </w:p>
    <w:p w14:paraId="7499DA33" w14:textId="77777777" w:rsidR="00ED0BDC" w:rsidRPr="003D6B6C" w:rsidRDefault="00ED0BDC" w:rsidP="00ED0BDC">
      <w:pPr>
        <w:ind w:left="567" w:hanging="567"/>
        <w:rPr>
          <w:rFonts w:ascii="Times New Roman" w:hAnsi="Times New Roman"/>
          <w:sz w:val="22"/>
          <w:szCs w:val="22"/>
          <w:highlight w:val="yellow"/>
        </w:rPr>
      </w:pPr>
    </w:p>
    <w:p w14:paraId="4D54C2F3" w14:textId="77777777" w:rsidR="00ED0BDC" w:rsidRPr="00037FF8" w:rsidRDefault="00ED0BDC" w:rsidP="00ED0BDC">
      <w:pPr>
        <w:keepNext/>
        <w:keepLines/>
        <w:tabs>
          <w:tab w:val="left" w:pos="1134"/>
        </w:tabs>
        <w:spacing w:before="240"/>
        <w:ind w:left="1134" w:hanging="1134"/>
        <w:rPr>
          <w:rFonts w:ascii="Times New Roman" w:hAnsi="Times New Roman"/>
          <w:b/>
          <w:sz w:val="24"/>
          <w:szCs w:val="24"/>
        </w:rPr>
      </w:pPr>
      <w:r w:rsidRPr="00037FF8">
        <w:rPr>
          <w:rFonts w:ascii="Times New Roman" w:hAnsi="Times New Roman"/>
          <w:b/>
          <w:sz w:val="24"/>
          <w:szCs w:val="24"/>
        </w:rPr>
        <w:lastRenderedPageBreak/>
        <w:t>Article 44</w:t>
      </w:r>
      <w:r w:rsidRPr="00037FF8">
        <w:rPr>
          <w:rFonts w:ascii="Times New Roman" w:hAnsi="Times New Roman"/>
          <w:b/>
          <w:sz w:val="24"/>
          <w:szCs w:val="24"/>
        </w:rPr>
        <w:tab/>
        <w:t>Data protection</w:t>
      </w:r>
    </w:p>
    <w:p w14:paraId="47C7B7D2" w14:textId="77777777" w:rsidR="00ED0BDC" w:rsidRPr="00037FF8" w:rsidRDefault="00ED0BDC" w:rsidP="00ED0BDC">
      <w:pPr>
        <w:jc w:val="both"/>
        <w:rPr>
          <w:rFonts w:ascii="Times New Roman" w:hAnsi="Times New Roman"/>
          <w:sz w:val="22"/>
          <w:szCs w:val="22"/>
        </w:rPr>
      </w:pPr>
      <w:r w:rsidRPr="00037FF8">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53E3E16F" w14:textId="77777777" w:rsidR="00ED0BDC" w:rsidRPr="00037FF8" w:rsidRDefault="00ED0BDC" w:rsidP="00ED0BDC">
      <w:pPr>
        <w:jc w:val="both"/>
        <w:rPr>
          <w:rFonts w:ascii="Times New Roman" w:hAnsi="Times New Roman"/>
          <w:sz w:val="22"/>
          <w:szCs w:val="22"/>
          <w:u w:val="single"/>
        </w:rPr>
      </w:pPr>
      <w:r w:rsidRPr="00037FF8">
        <w:rPr>
          <w:rFonts w:ascii="Times New Roman" w:hAnsi="Times New Roman"/>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personnel,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037FF8">
        <w:rPr>
          <w:rStyle w:val="FootnoteReference"/>
          <w:rFonts w:ascii="Times New Roman" w:hAnsi="Times New Roman"/>
          <w:sz w:val="22"/>
          <w:szCs w:val="22"/>
        </w:rPr>
        <w:footnoteReference w:id="2"/>
      </w:r>
      <w:r w:rsidRPr="00037FF8">
        <w:rPr>
          <w:rFonts w:ascii="Times New Roman" w:hAnsi="Times New Roman"/>
          <w:sz w:val="22"/>
          <w:szCs w:val="22"/>
        </w:rPr>
        <w:t xml:space="preserve"> and as detailed in the specific privacy statement published at ePRAG.</w:t>
      </w:r>
    </w:p>
    <w:p w14:paraId="684C399C" w14:textId="77777777" w:rsidR="00ED0BDC" w:rsidRPr="00037FF8" w:rsidRDefault="00ED0BDC" w:rsidP="00ED0BDC">
      <w:pPr>
        <w:pStyle w:val="ListNumber"/>
        <w:numPr>
          <w:ilvl w:val="0"/>
          <w:numId w:val="0"/>
        </w:numPr>
        <w:spacing w:before="240"/>
        <w:ind w:left="1134" w:hanging="1134"/>
        <w:rPr>
          <w:b/>
          <w:szCs w:val="24"/>
        </w:rPr>
      </w:pPr>
      <w:r w:rsidRPr="00037FF8">
        <w:rPr>
          <w:b/>
          <w:szCs w:val="24"/>
        </w:rPr>
        <w:t>Article 45</w:t>
      </w:r>
      <w:r w:rsidRPr="00037FF8">
        <w:rPr>
          <w:b/>
          <w:szCs w:val="24"/>
        </w:rPr>
        <w:tab/>
        <w:t>Further additional clauses</w:t>
      </w:r>
    </w:p>
    <w:p w14:paraId="4F4B1127" w14:textId="77777777" w:rsidR="00ED0BDC" w:rsidRDefault="00ED0BDC" w:rsidP="00ED0BDC">
      <w:pPr>
        <w:pStyle w:val="ListNumber"/>
        <w:numPr>
          <w:ilvl w:val="0"/>
          <w:numId w:val="0"/>
        </w:numPr>
        <w:rPr>
          <w:sz w:val="22"/>
          <w:szCs w:val="22"/>
        </w:rPr>
      </w:pPr>
      <w:r w:rsidRPr="00037FF8">
        <w:rPr>
          <w:sz w:val="22"/>
          <w:szCs w:val="22"/>
        </w:rPr>
        <w:t>N/A</w:t>
      </w:r>
    </w:p>
    <w:p w14:paraId="016C5FE5" w14:textId="1CBC26CA" w:rsidR="001B55AC" w:rsidRPr="003D6B6C" w:rsidRDefault="001B55AC" w:rsidP="001B55AC">
      <w:pPr>
        <w:pStyle w:val="ListNumber"/>
        <w:numPr>
          <w:ilvl w:val="0"/>
          <w:numId w:val="0"/>
        </w:numPr>
        <w:spacing w:before="360" w:after="100" w:afterAutospacing="1"/>
        <w:ind w:left="1984" w:hanging="425"/>
        <w:jc w:val="center"/>
        <w:rPr>
          <w:sz w:val="22"/>
          <w:szCs w:val="22"/>
        </w:rPr>
      </w:pPr>
    </w:p>
    <w:sectPr w:rsidR="001B55AC" w:rsidRPr="003D6B6C" w:rsidSect="00637E07">
      <w:headerReference w:type="default" r:id="rId9"/>
      <w:footerReference w:type="even" r:id="rId10"/>
      <w:footerReference w:type="default" r:id="rId11"/>
      <w:footerReference w:type="first" r:id="rId12"/>
      <w:footnotePr>
        <w:numRestart w:val="eachPage"/>
      </w:footnotePr>
      <w:pgSz w:w="11906" w:h="16838"/>
      <w:pgMar w:top="1138" w:right="1152" w:bottom="1152" w:left="1138"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F39D" w14:textId="77777777" w:rsidR="00372A21" w:rsidRPr="006A5F84" w:rsidRDefault="00372A21">
      <w:r w:rsidRPr="006A5F84">
        <w:separator/>
      </w:r>
    </w:p>
  </w:endnote>
  <w:endnote w:type="continuationSeparator" w:id="0">
    <w:p w14:paraId="4A2A4C1F" w14:textId="77777777" w:rsidR="00372A21" w:rsidRPr="006A5F84" w:rsidRDefault="00372A21">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F24C"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E34293" w14:textId="77777777"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2995" w14:textId="168E8702" w:rsidR="007E36E3" w:rsidRPr="00FE689C" w:rsidRDefault="00C60CD3"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Pr>
        <w:rFonts w:ascii="Times New Roman" w:hAnsi="Times New Roman"/>
        <w:b/>
        <w:sz w:val="18"/>
        <w:lang w:val="en-GB"/>
      </w:rPr>
      <w:t>May 2022</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FE7134">
      <w:rPr>
        <w:rStyle w:val="PageNumber"/>
        <w:rFonts w:ascii="Times New Roman" w:hAnsi="Times New Roman"/>
        <w:noProof/>
        <w:sz w:val="18"/>
        <w:szCs w:val="18"/>
        <w:lang w:val="en-GB"/>
      </w:rPr>
      <w:t>1</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FE7134">
      <w:rPr>
        <w:rStyle w:val="PageNumber"/>
        <w:rFonts w:ascii="Times New Roman" w:hAnsi="Times New Roman"/>
        <w:noProof/>
        <w:sz w:val="18"/>
        <w:szCs w:val="18"/>
        <w:lang w:val="en-GB"/>
      </w:rPr>
      <w:t>9</w:t>
    </w:r>
    <w:r w:rsidR="007E36E3" w:rsidRPr="009423FB">
      <w:rPr>
        <w:rStyle w:val="PageNumber"/>
        <w:rFonts w:ascii="Times New Roman" w:hAnsi="Times New Roman"/>
        <w:sz w:val="18"/>
        <w:szCs w:val="18"/>
      </w:rPr>
      <w:fldChar w:fldCharType="end"/>
    </w:r>
  </w:p>
  <w:p w14:paraId="32214240" w14:textId="77777777"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36AF"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181BD8D" w14:textId="77777777"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A40B" w14:textId="77777777" w:rsidR="00372A21" w:rsidRPr="006A5F84" w:rsidRDefault="00372A21">
      <w:r w:rsidRPr="006A5F84">
        <w:separator/>
      </w:r>
    </w:p>
  </w:footnote>
  <w:footnote w:type="continuationSeparator" w:id="0">
    <w:p w14:paraId="09D5343B" w14:textId="77777777" w:rsidR="00372A21" w:rsidRPr="006A5F84" w:rsidRDefault="00372A21">
      <w:r w:rsidRPr="006A5F84">
        <w:continuationSeparator/>
      </w:r>
    </w:p>
  </w:footnote>
  <w:footnote w:id="1">
    <w:p w14:paraId="17AB811D" w14:textId="77777777" w:rsidR="00212C7D" w:rsidRDefault="00212C7D" w:rsidP="00212C7D">
      <w:pPr>
        <w:pStyle w:val="FootnoteText"/>
        <w:rPr>
          <w:lang w:val="en-GB"/>
        </w:rPr>
      </w:pPr>
      <w:r>
        <w:rPr>
          <w:rStyle w:val="FootnoteReference"/>
        </w:rPr>
        <w:footnoteRef/>
      </w:r>
      <w:r>
        <w:rPr>
          <w:lang w:val="en-GB"/>
        </w:rPr>
        <w:t xml:space="preserve">See </w:t>
      </w:r>
      <w:hyperlink r:id="rId1" w:history="1">
        <w:r>
          <w:rPr>
            <w:rStyle w:val="Hyperlink"/>
            <w:lang w:val="en-GB"/>
          </w:rPr>
          <w:t>http://www.iccwbo.org/incoterms/</w:t>
        </w:r>
      </w:hyperlink>
    </w:p>
  </w:footnote>
  <w:footnote w:id="2">
    <w:p w14:paraId="0DDDEC33" w14:textId="77777777" w:rsidR="00ED0BDC" w:rsidRDefault="00ED0BDC" w:rsidP="00ED0BDC">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10C2" w14:textId="35AA2CA5" w:rsidR="00637E07" w:rsidRPr="00637E07" w:rsidRDefault="004F2888" w:rsidP="00637E07">
    <w:pPr>
      <w:pBdr>
        <w:bottom w:val="single" w:sz="12" w:space="1" w:color="auto"/>
      </w:pBdr>
      <w:tabs>
        <w:tab w:val="left" w:pos="450"/>
        <w:tab w:val="center" w:pos="4320"/>
        <w:tab w:val="right" w:pos="8640"/>
      </w:tabs>
      <w:spacing w:before="0" w:after="0"/>
      <w:ind w:left="-450" w:right="-540"/>
      <w:rPr>
        <w:rFonts w:ascii="Times New Roman" w:hAnsi="Times New Roman"/>
        <w:snapToGrid/>
        <w:sz w:val="24"/>
        <w:lang w:val="fr-FR" w:eastAsia="en-GB"/>
      </w:rPr>
    </w:pPr>
    <w:bookmarkStart w:id="11" w:name="_Hlk108775508"/>
    <w:bookmarkStart w:id="12" w:name="_Hlk108775509"/>
    <w:r>
      <w:rPr>
        <w:rFonts w:ascii="Times New Roman" w:hAnsi="Times New Roman"/>
        <w:noProof/>
        <w:snapToGrid/>
        <w:sz w:val="24"/>
        <w:lang w:val="fr-FR" w:eastAsia="en-GB"/>
      </w:rPr>
      <w:drawing>
        <wp:anchor distT="0" distB="0" distL="114300" distR="114300" simplePos="0" relativeHeight="251657728" behindDoc="0" locked="0" layoutInCell="1" allowOverlap="1" wp14:anchorId="35CE1E35" wp14:editId="760840C8">
          <wp:simplePos x="0" y="0"/>
          <wp:positionH relativeFrom="column">
            <wp:posOffset>5034915</wp:posOffset>
          </wp:positionH>
          <wp:positionV relativeFrom="paragraph">
            <wp:posOffset>-243205</wp:posOffset>
          </wp:positionV>
          <wp:extent cx="742315" cy="74231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noProof/>
        <w:snapToGrid/>
        <w:sz w:val="24"/>
        <w:lang w:val="fr-FR" w:eastAsia="en-GB"/>
      </w:rPr>
      <w:drawing>
        <wp:anchor distT="0" distB="0" distL="114300" distR="114300" simplePos="0" relativeHeight="251658752" behindDoc="0" locked="0" layoutInCell="1" allowOverlap="1" wp14:anchorId="3F69A4BB" wp14:editId="7D45A08F">
          <wp:simplePos x="0" y="0"/>
          <wp:positionH relativeFrom="column">
            <wp:posOffset>5868670</wp:posOffset>
          </wp:positionH>
          <wp:positionV relativeFrom="paragraph">
            <wp:posOffset>-214630</wp:posOffset>
          </wp:positionV>
          <wp:extent cx="493395" cy="638175"/>
          <wp:effectExtent l="0" t="0" r="0" b="0"/>
          <wp:wrapNone/>
          <wp:docPr id="6"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395" cy="6381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noProof/>
        <w:snapToGrid/>
        <w:sz w:val="24"/>
        <w:lang w:val="fr-FR" w:eastAsia="en-GB"/>
      </w:rPr>
      <w:drawing>
        <wp:anchor distT="0" distB="0" distL="114300" distR="114300" simplePos="0" relativeHeight="251656704" behindDoc="0" locked="0" layoutInCell="1" allowOverlap="1" wp14:anchorId="52E16CBB" wp14:editId="4637DA88">
          <wp:simplePos x="0" y="0"/>
          <wp:positionH relativeFrom="column">
            <wp:posOffset>-373380</wp:posOffset>
          </wp:positionH>
          <wp:positionV relativeFrom="paragraph">
            <wp:posOffset>-24130</wp:posOffset>
          </wp:positionV>
          <wp:extent cx="1867535" cy="433705"/>
          <wp:effectExtent l="0" t="0" r="0" b="0"/>
          <wp:wrapNone/>
          <wp:docPr id="4"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7535" cy="433705"/>
                  </a:xfrm>
                  <a:prstGeom prst="rect">
                    <a:avLst/>
                  </a:prstGeom>
                  <a:noFill/>
                </pic:spPr>
              </pic:pic>
            </a:graphicData>
          </a:graphic>
          <wp14:sizeRelH relativeFrom="margin">
            <wp14:pctWidth>0</wp14:pctWidth>
          </wp14:sizeRelH>
          <wp14:sizeRelV relativeFrom="margin">
            <wp14:pctHeight>0</wp14:pctHeight>
          </wp14:sizeRelV>
        </wp:anchor>
      </w:drawing>
    </w:r>
    <w:r w:rsidR="00637E07" w:rsidRPr="00637E07">
      <w:rPr>
        <w:rFonts w:ascii="Times New Roman" w:hAnsi="Times New Roman"/>
        <w:snapToGrid/>
        <w:sz w:val="24"/>
        <w:lang w:val="fr-FR" w:eastAsia="en-GB"/>
      </w:rPr>
      <w:t xml:space="preserve">                                                        </w:t>
    </w:r>
  </w:p>
  <w:p w14:paraId="1C30BF9D" w14:textId="77777777" w:rsidR="00637E07" w:rsidRPr="00637E07" w:rsidRDefault="00637E07" w:rsidP="00637E07">
    <w:pPr>
      <w:pBdr>
        <w:bottom w:val="single" w:sz="12" w:space="1" w:color="auto"/>
      </w:pBdr>
      <w:tabs>
        <w:tab w:val="left" w:pos="450"/>
        <w:tab w:val="center" w:pos="4320"/>
        <w:tab w:val="right" w:pos="8640"/>
      </w:tabs>
      <w:spacing w:before="0" w:after="0"/>
      <w:ind w:left="-450" w:right="-540"/>
      <w:rPr>
        <w:rFonts w:ascii="Times New Roman" w:hAnsi="Times New Roman"/>
        <w:snapToGrid/>
        <w:sz w:val="24"/>
        <w:lang w:val="fr-FR" w:eastAsia="en-GB"/>
      </w:rPr>
    </w:pPr>
  </w:p>
  <w:p w14:paraId="1533BB69" w14:textId="77777777" w:rsidR="00637E07" w:rsidRPr="00637E07" w:rsidRDefault="00637E07" w:rsidP="00637E07">
    <w:pPr>
      <w:pBdr>
        <w:bottom w:val="single" w:sz="12" w:space="1" w:color="auto"/>
      </w:pBdr>
      <w:tabs>
        <w:tab w:val="left" w:pos="450"/>
        <w:tab w:val="center" w:pos="4320"/>
        <w:tab w:val="right" w:pos="8640"/>
      </w:tabs>
      <w:spacing w:before="0" w:after="0"/>
      <w:ind w:left="-450" w:right="-540"/>
      <w:rPr>
        <w:rFonts w:ascii="Times New Roman" w:hAnsi="Times New Roman" w:cs="Arial"/>
        <w:snapToGrid/>
        <w:sz w:val="24"/>
        <w:lang w:val="fr-FR" w:eastAsia="en-GB"/>
      </w:rPr>
    </w:pPr>
  </w:p>
  <w:p w14:paraId="505F7E44" w14:textId="1E4184B4" w:rsidR="00637E07" w:rsidRPr="00637E07" w:rsidRDefault="00637E07" w:rsidP="00637E07">
    <w:pPr>
      <w:tabs>
        <w:tab w:val="left" w:pos="450"/>
        <w:tab w:val="center" w:pos="4320"/>
        <w:tab w:val="right" w:pos="8640"/>
      </w:tabs>
      <w:spacing w:before="0" w:after="0"/>
      <w:ind w:left="-450"/>
      <w:jc w:val="both"/>
      <w:rPr>
        <w:rFonts w:ascii="Times New Roman" w:hAnsi="Times New Roman" w:cs="Arial"/>
        <w:snapToGrid/>
        <w:sz w:val="24"/>
        <w:lang w:val="fr-FR" w:eastAsia="en-GB"/>
      </w:rPr>
    </w:pPr>
    <w:r w:rsidRPr="00637E07">
      <w:rPr>
        <w:rFonts w:ascii="Times New Roman" w:hAnsi="Times New Roman" w:cs="Arial"/>
        <w:snapToGrid/>
        <w:sz w:val="24"/>
        <w:lang w:val="fr-FR" w:eastAsia="en-GB"/>
      </w:rPr>
      <w:t>Project co-funded by the European Union and national funds of the participating countries.</w:t>
    </w:r>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7065864">
    <w:abstractNumId w:val="10"/>
  </w:num>
  <w:num w:numId="2" w16cid:durableId="937056399">
    <w:abstractNumId w:val="22"/>
  </w:num>
  <w:num w:numId="3" w16cid:durableId="589236291">
    <w:abstractNumId w:val="9"/>
  </w:num>
  <w:num w:numId="4" w16cid:durableId="1584215004">
    <w:abstractNumId w:val="12"/>
  </w:num>
  <w:num w:numId="5" w16cid:durableId="1876387424">
    <w:abstractNumId w:val="24"/>
  </w:num>
  <w:num w:numId="6" w16cid:durableId="1970821000">
    <w:abstractNumId w:val="7"/>
  </w:num>
  <w:num w:numId="7" w16cid:durableId="1317997550">
    <w:abstractNumId w:val="4"/>
  </w:num>
  <w:num w:numId="8" w16cid:durableId="1646280493">
    <w:abstractNumId w:val="1"/>
  </w:num>
  <w:num w:numId="9" w16cid:durableId="241453245">
    <w:abstractNumId w:val="13"/>
  </w:num>
  <w:num w:numId="10" w16cid:durableId="1568999300">
    <w:abstractNumId w:val="3"/>
  </w:num>
  <w:num w:numId="11" w16cid:durableId="1765102064">
    <w:abstractNumId w:val="20"/>
  </w:num>
  <w:num w:numId="12" w16cid:durableId="268700908">
    <w:abstractNumId w:val="11"/>
  </w:num>
  <w:num w:numId="13" w16cid:durableId="501094318">
    <w:abstractNumId w:val="5"/>
  </w:num>
  <w:num w:numId="14" w16cid:durableId="674572965">
    <w:abstractNumId w:val="17"/>
  </w:num>
  <w:num w:numId="15" w16cid:durableId="1846020542">
    <w:abstractNumId w:val="18"/>
  </w:num>
  <w:num w:numId="16" w16cid:durableId="1581056977">
    <w:abstractNumId w:val="6"/>
  </w:num>
  <w:num w:numId="17" w16cid:durableId="1801341484">
    <w:abstractNumId w:val="15"/>
  </w:num>
  <w:num w:numId="18" w16cid:durableId="2094399628">
    <w:abstractNumId w:val="8"/>
  </w:num>
  <w:num w:numId="19" w16cid:durableId="1768042363">
    <w:abstractNumId w:val="2"/>
  </w:num>
  <w:num w:numId="20" w16cid:durableId="352805408">
    <w:abstractNumId w:val="21"/>
  </w:num>
  <w:num w:numId="21" w16cid:durableId="810748620">
    <w:abstractNumId w:val="16"/>
  </w:num>
  <w:num w:numId="22" w16cid:durableId="1350642728">
    <w:abstractNumId w:val="14"/>
  </w:num>
  <w:num w:numId="23" w16cid:durableId="1270236019">
    <w:abstractNumId w:val="0"/>
  </w:num>
  <w:num w:numId="24" w16cid:durableId="657267856">
    <w:abstractNumId w:val="19"/>
  </w:num>
  <w:num w:numId="25" w16cid:durableId="37527775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07E4"/>
    <w:rsid w:val="000021E1"/>
    <w:rsid w:val="0000334D"/>
    <w:rsid w:val="00007C5B"/>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746B"/>
    <w:rsid w:val="000A1A71"/>
    <w:rsid w:val="000A3B36"/>
    <w:rsid w:val="000A6371"/>
    <w:rsid w:val="000A7A2C"/>
    <w:rsid w:val="000B0983"/>
    <w:rsid w:val="000B1236"/>
    <w:rsid w:val="000B46A8"/>
    <w:rsid w:val="000B4B1D"/>
    <w:rsid w:val="000B79F6"/>
    <w:rsid w:val="000C4AE6"/>
    <w:rsid w:val="000C709A"/>
    <w:rsid w:val="000D24E3"/>
    <w:rsid w:val="000D2B44"/>
    <w:rsid w:val="000D40DB"/>
    <w:rsid w:val="000E78C2"/>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2C7D"/>
    <w:rsid w:val="00216ADC"/>
    <w:rsid w:val="00216F0D"/>
    <w:rsid w:val="002209F1"/>
    <w:rsid w:val="00220BF7"/>
    <w:rsid w:val="00224C44"/>
    <w:rsid w:val="00225CDC"/>
    <w:rsid w:val="00227A8C"/>
    <w:rsid w:val="00230AB3"/>
    <w:rsid w:val="002316EC"/>
    <w:rsid w:val="00240B1F"/>
    <w:rsid w:val="00240FEB"/>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00DE6"/>
    <w:rsid w:val="00322263"/>
    <w:rsid w:val="00324259"/>
    <w:rsid w:val="0032469B"/>
    <w:rsid w:val="003308C6"/>
    <w:rsid w:val="0033212F"/>
    <w:rsid w:val="003323F5"/>
    <w:rsid w:val="003330F8"/>
    <w:rsid w:val="00335E06"/>
    <w:rsid w:val="003409B8"/>
    <w:rsid w:val="003439C4"/>
    <w:rsid w:val="00347B7E"/>
    <w:rsid w:val="003502E9"/>
    <w:rsid w:val="00351351"/>
    <w:rsid w:val="00353F6F"/>
    <w:rsid w:val="00360344"/>
    <w:rsid w:val="003613D2"/>
    <w:rsid w:val="00361AE1"/>
    <w:rsid w:val="0036422F"/>
    <w:rsid w:val="00371851"/>
    <w:rsid w:val="00371F01"/>
    <w:rsid w:val="003721AD"/>
    <w:rsid w:val="00372540"/>
    <w:rsid w:val="00372A21"/>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2888"/>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2E90"/>
    <w:rsid w:val="00583FF3"/>
    <w:rsid w:val="00584F28"/>
    <w:rsid w:val="00586D6C"/>
    <w:rsid w:val="00591F23"/>
    <w:rsid w:val="005921FA"/>
    <w:rsid w:val="00593430"/>
    <w:rsid w:val="00593550"/>
    <w:rsid w:val="005A016E"/>
    <w:rsid w:val="005A6C0F"/>
    <w:rsid w:val="005B0129"/>
    <w:rsid w:val="005B083F"/>
    <w:rsid w:val="005B2018"/>
    <w:rsid w:val="005B3CAB"/>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6E8F"/>
    <w:rsid w:val="00637C8F"/>
    <w:rsid w:val="00637E07"/>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3BA1"/>
    <w:rsid w:val="006D3DE4"/>
    <w:rsid w:val="006D5CEE"/>
    <w:rsid w:val="006E245B"/>
    <w:rsid w:val="006E5450"/>
    <w:rsid w:val="006E54F2"/>
    <w:rsid w:val="006E56FD"/>
    <w:rsid w:val="006E5B49"/>
    <w:rsid w:val="006E6880"/>
    <w:rsid w:val="006F43E5"/>
    <w:rsid w:val="006F596C"/>
    <w:rsid w:val="00703B91"/>
    <w:rsid w:val="00704477"/>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740B3"/>
    <w:rsid w:val="00775F12"/>
    <w:rsid w:val="00776BF7"/>
    <w:rsid w:val="00777E99"/>
    <w:rsid w:val="007858B9"/>
    <w:rsid w:val="00791841"/>
    <w:rsid w:val="00792A1B"/>
    <w:rsid w:val="00794EE6"/>
    <w:rsid w:val="00797C04"/>
    <w:rsid w:val="007A0045"/>
    <w:rsid w:val="007A1101"/>
    <w:rsid w:val="007A3D34"/>
    <w:rsid w:val="007A6AF5"/>
    <w:rsid w:val="007B4853"/>
    <w:rsid w:val="007B65DB"/>
    <w:rsid w:val="007C0BDD"/>
    <w:rsid w:val="007C1656"/>
    <w:rsid w:val="007C75E0"/>
    <w:rsid w:val="007D5FA2"/>
    <w:rsid w:val="007D752C"/>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A048D"/>
    <w:rsid w:val="008A0660"/>
    <w:rsid w:val="008A39B7"/>
    <w:rsid w:val="008A6DE2"/>
    <w:rsid w:val="008B230C"/>
    <w:rsid w:val="008C4E79"/>
    <w:rsid w:val="008C5A40"/>
    <w:rsid w:val="008C5DAA"/>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670B"/>
    <w:rsid w:val="00950B0C"/>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B7E82"/>
    <w:rsid w:val="009C0E86"/>
    <w:rsid w:val="009D2938"/>
    <w:rsid w:val="009D6A3D"/>
    <w:rsid w:val="009E4F6E"/>
    <w:rsid w:val="009E6BB7"/>
    <w:rsid w:val="009F22C3"/>
    <w:rsid w:val="009F3126"/>
    <w:rsid w:val="009F7E6A"/>
    <w:rsid w:val="00A039CA"/>
    <w:rsid w:val="00A04004"/>
    <w:rsid w:val="00A11551"/>
    <w:rsid w:val="00A11F12"/>
    <w:rsid w:val="00A1746F"/>
    <w:rsid w:val="00A2645C"/>
    <w:rsid w:val="00A41B28"/>
    <w:rsid w:val="00A42ECF"/>
    <w:rsid w:val="00A5099A"/>
    <w:rsid w:val="00A512A5"/>
    <w:rsid w:val="00A512C9"/>
    <w:rsid w:val="00A539E4"/>
    <w:rsid w:val="00A56046"/>
    <w:rsid w:val="00A62073"/>
    <w:rsid w:val="00A63E3C"/>
    <w:rsid w:val="00A665A2"/>
    <w:rsid w:val="00A72C82"/>
    <w:rsid w:val="00A75650"/>
    <w:rsid w:val="00A76A6E"/>
    <w:rsid w:val="00A845B1"/>
    <w:rsid w:val="00A87E3D"/>
    <w:rsid w:val="00A90875"/>
    <w:rsid w:val="00A9597C"/>
    <w:rsid w:val="00AA24A4"/>
    <w:rsid w:val="00AA4766"/>
    <w:rsid w:val="00AA5BB2"/>
    <w:rsid w:val="00AB16CB"/>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1689"/>
    <w:rsid w:val="00BE3FDF"/>
    <w:rsid w:val="00BF1A9A"/>
    <w:rsid w:val="00C12AF0"/>
    <w:rsid w:val="00C13C29"/>
    <w:rsid w:val="00C1524D"/>
    <w:rsid w:val="00C17310"/>
    <w:rsid w:val="00C20179"/>
    <w:rsid w:val="00C20F71"/>
    <w:rsid w:val="00C302E1"/>
    <w:rsid w:val="00C3235B"/>
    <w:rsid w:val="00C33F8E"/>
    <w:rsid w:val="00C34E40"/>
    <w:rsid w:val="00C41328"/>
    <w:rsid w:val="00C41919"/>
    <w:rsid w:val="00C44168"/>
    <w:rsid w:val="00C45D2B"/>
    <w:rsid w:val="00C52305"/>
    <w:rsid w:val="00C60CD3"/>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B616B"/>
    <w:rsid w:val="00CC7DE2"/>
    <w:rsid w:val="00CD68C0"/>
    <w:rsid w:val="00CD6FC9"/>
    <w:rsid w:val="00CD7F25"/>
    <w:rsid w:val="00CF2DE2"/>
    <w:rsid w:val="00CF30C4"/>
    <w:rsid w:val="00CF4F4B"/>
    <w:rsid w:val="00CF6CFA"/>
    <w:rsid w:val="00D02E23"/>
    <w:rsid w:val="00D11009"/>
    <w:rsid w:val="00D131B2"/>
    <w:rsid w:val="00D23D4C"/>
    <w:rsid w:val="00D243E7"/>
    <w:rsid w:val="00D24469"/>
    <w:rsid w:val="00D24893"/>
    <w:rsid w:val="00D25711"/>
    <w:rsid w:val="00D312D2"/>
    <w:rsid w:val="00D335EE"/>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196A"/>
    <w:rsid w:val="00E62221"/>
    <w:rsid w:val="00E62923"/>
    <w:rsid w:val="00E653F0"/>
    <w:rsid w:val="00E66C96"/>
    <w:rsid w:val="00E730A5"/>
    <w:rsid w:val="00E74AE4"/>
    <w:rsid w:val="00E76535"/>
    <w:rsid w:val="00E811F3"/>
    <w:rsid w:val="00E85F91"/>
    <w:rsid w:val="00E87734"/>
    <w:rsid w:val="00EA63E1"/>
    <w:rsid w:val="00EB2C4D"/>
    <w:rsid w:val="00EB32E9"/>
    <w:rsid w:val="00EB3F46"/>
    <w:rsid w:val="00EB45CB"/>
    <w:rsid w:val="00EB78F4"/>
    <w:rsid w:val="00EC51B6"/>
    <w:rsid w:val="00ED0BDC"/>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25DA5"/>
    <w:rsid w:val="00F30624"/>
    <w:rsid w:val="00F33149"/>
    <w:rsid w:val="00F33605"/>
    <w:rsid w:val="00F33A99"/>
    <w:rsid w:val="00F355C1"/>
    <w:rsid w:val="00F35D21"/>
    <w:rsid w:val="00F4288C"/>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D1E84"/>
    <w:rsid w:val="00FD23CD"/>
    <w:rsid w:val="00FD659C"/>
    <w:rsid w:val="00FD68B9"/>
    <w:rsid w:val="00FD6CB9"/>
    <w:rsid w:val="00FE1372"/>
    <w:rsid w:val="00FE3081"/>
    <w:rsid w:val="00FE3E3B"/>
    <w:rsid w:val="00FE689C"/>
    <w:rsid w:val="00FE7134"/>
    <w:rsid w:val="00FE7D87"/>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1978073"/>
  <w15:chartTrackingRefBased/>
  <w15:docId w15:val="{1426DA7F-1AF9-498A-B857-DDCC75BE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0D9"/>
    <w:pPr>
      <w:spacing w:before="120" w:after="120"/>
    </w:pPr>
    <w:rPr>
      <w:rFonts w:ascii="Arial" w:hAnsi="Arial"/>
      <w:snapToGrid w:val="0"/>
      <w:lang w:val="en-GB"/>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val="en-GB"/>
    </w:rPr>
  </w:style>
  <w:style w:type="paragraph" w:customStyle="1" w:styleId="Default">
    <w:name w:val="Default"/>
    <w:rsid w:val="00E76535"/>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677579563">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 w:id="772943796">
      <w:bodyDiv w:val="1"/>
      <w:marLeft w:val="0"/>
      <w:marRight w:val="0"/>
      <w:marTop w:val="0"/>
      <w:marBottom w:val="0"/>
      <w:divBdr>
        <w:top w:val="none" w:sz="0" w:space="0" w:color="auto"/>
        <w:left w:val="none" w:sz="0" w:space="0" w:color="auto"/>
        <w:bottom w:val="none" w:sz="0" w:space="0" w:color="auto"/>
        <w:right w:val="none" w:sz="0" w:space="0" w:color="auto"/>
      </w:divBdr>
    </w:div>
    <w:div w:id="986082559">
      <w:bodyDiv w:val="1"/>
      <w:marLeft w:val="0"/>
      <w:marRight w:val="0"/>
      <w:marTop w:val="0"/>
      <w:marBottom w:val="0"/>
      <w:divBdr>
        <w:top w:val="none" w:sz="0" w:space="0" w:color="auto"/>
        <w:left w:val="none" w:sz="0" w:space="0" w:color="auto"/>
        <w:bottom w:val="none" w:sz="0" w:space="0" w:color="auto"/>
        <w:right w:val="none" w:sz="0" w:space="0" w:color="auto"/>
      </w:divBdr>
    </w:div>
    <w:div w:id="16487084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communication-and-visibility-manual-eu-external-actions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B21F-EA1D-40AF-88CB-E5DA8474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12285</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Ljupco Shosholovski</cp:lastModifiedBy>
  <cp:revision>2</cp:revision>
  <cp:lastPrinted>2014-02-11T14:32:00Z</cp:lastPrinted>
  <dcterms:created xsi:type="dcterms:W3CDTF">2022-05-03T09:48:00Z</dcterms:created>
  <dcterms:modified xsi:type="dcterms:W3CDTF">2022-05-03T09:48:00Z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