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8E31" w14:textId="047CD643" w:rsidR="006F5FD0" w:rsidRPr="00B33EE6" w:rsidRDefault="00275833">
      <w:pPr>
        <w:jc w:val="center"/>
        <w:rPr>
          <w:rStyle w:val="Strong"/>
          <w:sz w:val="28"/>
          <w:szCs w:val="28"/>
          <w:lang w:val="en-GB"/>
        </w:rPr>
      </w:pPr>
      <w:r>
        <w:rPr>
          <w:b/>
          <w:sz w:val="28"/>
          <w:szCs w:val="28"/>
          <w:lang w:val="en-GB"/>
        </w:rPr>
        <w:t>SUPPLY</w:t>
      </w:r>
      <w:r w:rsidR="006F5FD0" w:rsidRPr="00B33EE6">
        <w:rPr>
          <w:b/>
          <w:sz w:val="28"/>
          <w:szCs w:val="28"/>
          <w:lang w:val="en-GB"/>
        </w:rPr>
        <w:t xml:space="preserve"> </w:t>
      </w:r>
      <w:r w:rsidR="00FA17FC" w:rsidRPr="00B33EE6">
        <w:rPr>
          <w:b/>
          <w:sz w:val="28"/>
          <w:szCs w:val="28"/>
          <w:lang w:val="en-GB"/>
        </w:rPr>
        <w:t xml:space="preserve">CONTRACT </w:t>
      </w:r>
      <w:r w:rsidR="006F5FD0" w:rsidRPr="00B33EE6">
        <w:rPr>
          <w:b/>
          <w:sz w:val="28"/>
          <w:szCs w:val="28"/>
          <w:lang w:val="en-GB"/>
        </w:rPr>
        <w:t>NOTICE</w:t>
      </w:r>
    </w:p>
    <w:p w14:paraId="0D0D39AC" w14:textId="33EEE082" w:rsidR="00910F3A" w:rsidRPr="007D6E29" w:rsidRDefault="00EB6CCB" w:rsidP="00910F3A">
      <w:pPr>
        <w:jc w:val="center"/>
        <w:outlineLvl w:val="0"/>
        <w:rPr>
          <w:rStyle w:val="Strong"/>
          <w:sz w:val="28"/>
          <w:szCs w:val="28"/>
          <w:lang w:val="en-GB"/>
        </w:rPr>
      </w:pPr>
      <w:r w:rsidRPr="007D6E29">
        <w:rPr>
          <w:rStyle w:val="Strong"/>
          <w:sz w:val="28"/>
          <w:szCs w:val="28"/>
        </w:rPr>
        <w:t xml:space="preserve">Contract title </w:t>
      </w:r>
      <w:r w:rsidRPr="007D6E29">
        <w:rPr>
          <w:rStyle w:val="Strong"/>
          <w:sz w:val="28"/>
          <w:szCs w:val="28"/>
          <w:lang w:val="mk-MK"/>
        </w:rPr>
        <w:t>„</w:t>
      </w:r>
      <w:r w:rsidR="00773138">
        <w:rPr>
          <w:rStyle w:val="Strong"/>
          <w:sz w:val="28"/>
          <w:szCs w:val="28"/>
        </w:rPr>
        <w:t xml:space="preserve">Procurement of </w:t>
      </w:r>
      <w:r w:rsidR="00D731C7">
        <w:rPr>
          <w:rStyle w:val="Strong"/>
          <w:sz w:val="28"/>
          <w:szCs w:val="28"/>
        </w:rPr>
        <w:t xml:space="preserve">a terrain </w:t>
      </w:r>
      <w:r w:rsidR="00E81EBC">
        <w:rPr>
          <w:rStyle w:val="Strong"/>
          <w:sz w:val="28"/>
          <w:szCs w:val="28"/>
        </w:rPr>
        <w:t>vehicle</w:t>
      </w:r>
      <w:r w:rsidR="00E81EBC" w:rsidRPr="007D6E29">
        <w:rPr>
          <w:rStyle w:val="Strong"/>
          <w:sz w:val="28"/>
          <w:szCs w:val="28"/>
          <w:lang w:val="mk-MK"/>
        </w:rPr>
        <w:t xml:space="preserve"> “</w:t>
      </w:r>
    </w:p>
    <w:p w14:paraId="505BEB68" w14:textId="366897A0" w:rsidR="00EB6CCB" w:rsidRDefault="00EB6CCB" w:rsidP="00910F3A">
      <w:pPr>
        <w:jc w:val="center"/>
        <w:outlineLvl w:val="0"/>
        <w:rPr>
          <w:rStyle w:val="Strong"/>
          <w:sz w:val="22"/>
          <w:szCs w:val="22"/>
          <w:lang w:val="en-GB"/>
        </w:rPr>
      </w:pPr>
      <w:r>
        <w:rPr>
          <w:color w:val="000000"/>
          <w:sz w:val="27"/>
          <w:szCs w:val="27"/>
        </w:rPr>
        <w:t>within the project “Modern tools for wildfire’ and floods’ risk punctual forecast and monitoring and innovative techniques for citizens’ safeguard awareness and preparedness”</w:t>
      </w:r>
    </w:p>
    <w:p w14:paraId="4F63CD38" w14:textId="62063C38" w:rsidR="00571687" w:rsidRPr="00B33EE6" w:rsidRDefault="00EB6CCB" w:rsidP="00910F3A">
      <w:pPr>
        <w:jc w:val="center"/>
        <w:rPr>
          <w:rStyle w:val="Strong"/>
          <w:sz w:val="22"/>
          <w:szCs w:val="22"/>
          <w:lang w:val="en-GB"/>
        </w:rPr>
      </w:pPr>
      <w:r>
        <w:rPr>
          <w:rStyle w:val="Strong"/>
          <w:sz w:val="28"/>
          <w:szCs w:val="28"/>
          <w:lang w:val="en-GB"/>
        </w:rPr>
        <w:t>Location – Skopje, Republic of North Macedonia</w:t>
      </w:r>
    </w:p>
    <w:p w14:paraId="42C4B922"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0FFF1463" w14:textId="09E1843B" w:rsidR="006F5FD0" w:rsidRPr="00B33EE6" w:rsidRDefault="00EB6CCB">
      <w:pPr>
        <w:pStyle w:val="Blockquote"/>
        <w:rPr>
          <w:i/>
          <w:sz w:val="22"/>
          <w:szCs w:val="22"/>
          <w:lang w:val="en-GB"/>
        </w:rPr>
      </w:pPr>
      <w:r>
        <w:rPr>
          <w:rStyle w:val="Emphasis"/>
          <w:i w:val="0"/>
          <w:sz w:val="22"/>
          <w:szCs w:val="22"/>
          <w:lang w:val="en-GB"/>
        </w:rPr>
        <w:t>PREVEN-T – CN2 – SO2.4 – SC049</w:t>
      </w:r>
    </w:p>
    <w:p w14:paraId="47BDD4EF"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589EACCA" w14:textId="508E7530" w:rsidR="006F5FD0" w:rsidRPr="00B33EE6" w:rsidRDefault="00910F3A" w:rsidP="00910F3A">
      <w:pPr>
        <w:pStyle w:val="Blockquote"/>
        <w:ind w:left="0" w:firstLine="360"/>
        <w:jc w:val="both"/>
        <w:rPr>
          <w:sz w:val="22"/>
          <w:szCs w:val="22"/>
          <w:lang w:val="en-GB"/>
        </w:rPr>
      </w:pPr>
      <w:r>
        <w:rPr>
          <w:sz w:val="22"/>
          <w:szCs w:val="22"/>
          <w:lang w:val="en-GB"/>
        </w:rPr>
        <w:t>Single tender</w:t>
      </w:r>
    </w:p>
    <w:p w14:paraId="5A57A4A9"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6F54DB15" w14:textId="307C91E0" w:rsidR="00971962" w:rsidRPr="00B33EE6" w:rsidRDefault="00EB6CCB" w:rsidP="00B33EE6">
      <w:pPr>
        <w:pStyle w:val="PRAGHeading2"/>
        <w:numPr>
          <w:ilvl w:val="0"/>
          <w:numId w:val="0"/>
        </w:numPr>
        <w:ind w:left="357" w:right="357"/>
        <w:rPr>
          <w:lang w:val="en-GB"/>
        </w:rPr>
      </w:pPr>
      <w:r>
        <w:rPr>
          <w:lang w:val="en-GB"/>
        </w:rPr>
        <w:t>Interreg – IPA CBC Greece – Republic of North Macedonia</w:t>
      </w:r>
      <w:r w:rsidR="00B92270">
        <w:rPr>
          <w:lang w:val="en-GB"/>
        </w:rPr>
        <w:t xml:space="preserve"> 2014-2020</w:t>
      </w:r>
    </w:p>
    <w:p w14:paraId="25659FDA"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5AE573B9" w14:textId="33EF31E8" w:rsidR="00F54605" w:rsidRDefault="00F54605" w:rsidP="00F54605">
      <w:pPr>
        <w:pStyle w:val="PRAGHeading2"/>
        <w:numPr>
          <w:ilvl w:val="0"/>
          <w:numId w:val="0"/>
        </w:numPr>
        <w:ind w:left="360"/>
        <w:jc w:val="both"/>
        <w:rPr>
          <w:lang w:val="en-GB"/>
        </w:rPr>
      </w:pPr>
      <w:r>
        <w:rPr>
          <w:rStyle w:val="Emphasis"/>
          <w:i w:val="0"/>
          <w:sz w:val="22"/>
          <w:szCs w:val="22"/>
          <w:lang w:val="en-GB"/>
        </w:rPr>
        <w:t xml:space="preserve">The project is co-financed by the </w:t>
      </w:r>
      <w:proofErr w:type="spellStart"/>
      <w:r>
        <w:rPr>
          <w:rStyle w:val="Emphasis"/>
          <w:i w:val="0"/>
          <w:sz w:val="22"/>
          <w:szCs w:val="22"/>
          <w:lang w:val="en-GB"/>
        </w:rPr>
        <w:t>Europen</w:t>
      </w:r>
      <w:proofErr w:type="spellEnd"/>
      <w:r>
        <w:rPr>
          <w:rStyle w:val="Emphasis"/>
          <w:i w:val="0"/>
          <w:sz w:val="22"/>
          <w:szCs w:val="22"/>
          <w:lang w:val="en-GB"/>
        </w:rPr>
        <w:t xml:space="preserve"> Union and by National Funds of the Countries participating in the Interreg IPA CBC Programme </w:t>
      </w:r>
      <w:r w:rsidRPr="007C2C38">
        <w:rPr>
          <w:lang w:val="en-GB"/>
        </w:rPr>
        <w:t>“Greece – The Republic of North Macedonia 2014-2020”</w:t>
      </w:r>
    </w:p>
    <w:p w14:paraId="2F957120" w14:textId="77777777" w:rsidR="00F54605" w:rsidRDefault="00F54605" w:rsidP="00F54605">
      <w:pPr>
        <w:pStyle w:val="PRAGHeading2"/>
        <w:numPr>
          <w:ilvl w:val="0"/>
          <w:numId w:val="0"/>
        </w:numPr>
        <w:ind w:firstLine="360"/>
        <w:rPr>
          <w:lang w:val="en-GB"/>
        </w:rPr>
      </w:pPr>
      <w:r>
        <w:rPr>
          <w:lang w:val="en-GB"/>
        </w:rPr>
        <w:t>PREVENT-T-CN2-SO2.4-SC049</w:t>
      </w:r>
    </w:p>
    <w:p w14:paraId="2CD692FB" w14:textId="760D191E" w:rsidR="00F54605" w:rsidRDefault="00F54605" w:rsidP="00F54605">
      <w:pPr>
        <w:ind w:left="709" w:hanging="349"/>
        <w:outlineLvl w:val="0"/>
        <w:rPr>
          <w:lang w:val="en-GB"/>
        </w:rPr>
      </w:pPr>
      <w:r>
        <w:rPr>
          <w:lang w:val="en-GB"/>
        </w:rPr>
        <w:t>WP 3, Budget line: D 3.</w:t>
      </w:r>
      <w:r w:rsidR="007A736E">
        <w:rPr>
          <w:lang w:val="en-GB"/>
        </w:rPr>
        <w:t>2</w:t>
      </w:r>
      <w:r>
        <w:rPr>
          <w:lang w:val="en-GB"/>
        </w:rPr>
        <w:t>.1.</w:t>
      </w:r>
    </w:p>
    <w:p w14:paraId="401AD799" w14:textId="6A88DDFD" w:rsidR="006F5FD0" w:rsidRDefault="006F5FD0" w:rsidP="00F54605">
      <w:pPr>
        <w:ind w:left="709" w:hanging="349"/>
        <w:outlineLvl w:val="0"/>
        <w:rPr>
          <w:rStyle w:val="Strong"/>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66E130D6" w14:textId="01B3F9D5" w:rsidR="00B92270" w:rsidRDefault="00B92270" w:rsidP="00B92270">
      <w:pPr>
        <w:ind w:firstLine="360"/>
        <w:rPr>
          <w:noProof/>
          <w:snapToGrid/>
          <w:sz w:val="22"/>
          <w:szCs w:val="22"/>
          <w:lang w:val="en-GB"/>
        </w:rPr>
      </w:pPr>
      <w:r w:rsidRPr="00DF56BB">
        <w:rPr>
          <w:rStyle w:val="Emphasis"/>
          <w:i w:val="0"/>
          <w:sz w:val="22"/>
          <w:szCs w:val="22"/>
          <w:lang w:val="en-GB"/>
        </w:rPr>
        <w:t xml:space="preserve">Military academy „General Mihailo </w:t>
      </w:r>
      <w:proofErr w:type="spellStart"/>
      <w:proofErr w:type="gramStart"/>
      <w:r w:rsidRPr="00DF56BB">
        <w:rPr>
          <w:rStyle w:val="Emphasis"/>
          <w:i w:val="0"/>
          <w:sz w:val="22"/>
          <w:szCs w:val="22"/>
          <w:lang w:val="en-GB"/>
        </w:rPr>
        <w:t>Apostolski</w:t>
      </w:r>
      <w:proofErr w:type="spellEnd"/>
      <w:r w:rsidRPr="00DF56BB">
        <w:rPr>
          <w:rStyle w:val="Emphasis"/>
          <w:i w:val="0"/>
          <w:sz w:val="22"/>
          <w:szCs w:val="22"/>
          <w:lang w:val="en-GB"/>
        </w:rPr>
        <w:t>“</w:t>
      </w:r>
      <w:proofErr w:type="gramEnd"/>
      <w:r w:rsidRPr="00DF56BB">
        <w:rPr>
          <w:rStyle w:val="Emphasis"/>
          <w:i w:val="0"/>
          <w:sz w:val="22"/>
          <w:szCs w:val="22"/>
          <w:lang w:val="en-GB"/>
        </w:rPr>
        <w:t>– Skopje</w:t>
      </w:r>
      <w:r>
        <w:rPr>
          <w:rStyle w:val="Emphasis"/>
          <w:i w:val="0"/>
          <w:sz w:val="22"/>
          <w:szCs w:val="22"/>
          <w:lang w:val="en-GB"/>
        </w:rPr>
        <w:t>, Republic of North Macedonia</w:t>
      </w:r>
      <w:r>
        <w:rPr>
          <w:noProof/>
          <w:snapToGrid/>
          <w:sz w:val="22"/>
          <w:szCs w:val="22"/>
          <w:lang w:val="en-GB"/>
        </w:rPr>
        <w:t xml:space="preserve"> </w:t>
      </w:r>
    </w:p>
    <w:p w14:paraId="4E0BD8B4" w14:textId="2001247A" w:rsidR="006F5FD0" w:rsidRPr="00B33EE6" w:rsidRDefault="00D23B54">
      <w:pPr>
        <w:rPr>
          <w:sz w:val="22"/>
          <w:szCs w:val="22"/>
          <w:lang w:val="en-GB"/>
        </w:rPr>
      </w:pPr>
      <w:r>
        <w:rPr>
          <w:noProof/>
          <w:snapToGrid/>
          <w:sz w:val="22"/>
          <w:szCs w:val="22"/>
        </w:rPr>
        <mc:AlternateContent>
          <mc:Choice Requires="wps">
            <w:drawing>
              <wp:anchor distT="0" distB="0" distL="114300" distR="114300" simplePos="0" relativeHeight="251655680" behindDoc="0" locked="0" layoutInCell="0" allowOverlap="1" wp14:anchorId="1CCA44E7" wp14:editId="609EAB11">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BC9579">
              <v:line id="Line 3"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0,12pt" to="468pt,12.05pt" w14:anchorId="762E6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v:shadow on="t" offset="0,-1pt"/>
              </v:line>
            </w:pict>
          </mc:Fallback>
        </mc:AlternateContent>
      </w:r>
    </w:p>
    <w:p w14:paraId="37855B91"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72D66360" w14:textId="77777777" w:rsidR="00F54605" w:rsidRPr="00B33EE6" w:rsidRDefault="00F54605" w:rsidP="00F54605">
      <w:pPr>
        <w:spacing w:before="0" w:after="0"/>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14:paraId="5F2D1EB2" w14:textId="400528BF" w:rsidR="00F54605" w:rsidRPr="00F54605" w:rsidRDefault="00F54605" w:rsidP="00F54605">
      <w:pPr>
        <w:pStyle w:val="Blockquote"/>
        <w:spacing w:before="0" w:after="0"/>
        <w:jc w:val="both"/>
        <w:rPr>
          <w:rStyle w:val="Strong"/>
          <w:b w:val="0"/>
          <w:sz w:val="22"/>
          <w:szCs w:val="22"/>
          <w:lang w:val="en-GB"/>
        </w:rPr>
      </w:pPr>
      <w:r w:rsidRPr="003A5F18">
        <w:rPr>
          <w:rStyle w:val="Emphasis"/>
          <w:i w:val="0"/>
          <w:sz w:val="22"/>
          <w:szCs w:val="22"/>
          <w:lang w:val="en-GB"/>
        </w:rPr>
        <w:t>Lump sum</w:t>
      </w:r>
    </w:p>
    <w:p w14:paraId="619C1463" w14:textId="6CE02E7D" w:rsidR="006F5FD0" w:rsidRPr="00B33EE6" w:rsidRDefault="00343941" w:rsidP="00584BF4">
      <w:pPr>
        <w:ind w:left="709" w:hanging="352"/>
        <w:outlineLvl w:val="0"/>
        <w:rPr>
          <w:sz w:val="22"/>
          <w:szCs w:val="22"/>
          <w:lang w:val="en-GB"/>
        </w:rPr>
      </w:pPr>
      <w:r>
        <w:rPr>
          <w:rStyle w:val="Strong"/>
          <w:sz w:val="22"/>
          <w:szCs w:val="22"/>
          <w:lang w:val="en-GB"/>
        </w:rPr>
        <w:t xml:space="preserve">7. </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Contract description</w:t>
      </w:r>
    </w:p>
    <w:p w14:paraId="38406E93" w14:textId="77777777" w:rsidR="00AE385A" w:rsidRPr="00A355B3" w:rsidRDefault="00AE385A" w:rsidP="00AE385A">
      <w:pPr>
        <w:pStyle w:val="NormalWeb"/>
        <w:spacing w:before="0" w:beforeAutospacing="0" w:after="0" w:afterAutospacing="0" w:line="235" w:lineRule="atLeast"/>
        <w:ind w:left="346"/>
        <w:jc w:val="both"/>
        <w:rPr>
          <w:color w:val="000000"/>
          <w:sz w:val="22"/>
          <w:szCs w:val="22"/>
        </w:rPr>
      </w:pPr>
      <w:r w:rsidRPr="00A355B3">
        <w:rPr>
          <w:color w:val="000000"/>
          <w:sz w:val="22"/>
          <w:szCs w:val="22"/>
          <w:bdr w:val="none" w:sz="0" w:space="0" w:color="auto" w:frame="1"/>
          <w:lang w:val="en-GB"/>
        </w:rPr>
        <w:t xml:space="preserve">Military Academy will work on several project outputs that are specifically related to the Military Academy but will also support NP </w:t>
      </w:r>
      <w:r>
        <w:rPr>
          <w:color w:val="000000"/>
          <w:sz w:val="22"/>
          <w:szCs w:val="22"/>
          <w:bdr w:val="none" w:sz="0" w:space="0" w:color="auto" w:frame="1"/>
          <w:lang w:val="mk-MK"/>
        </w:rPr>
        <w:t>„</w:t>
      </w:r>
      <w:proofErr w:type="spellStart"/>
      <w:proofErr w:type="gramStart"/>
      <w:r w:rsidRPr="00A355B3">
        <w:rPr>
          <w:color w:val="000000"/>
          <w:sz w:val="22"/>
          <w:szCs w:val="22"/>
          <w:bdr w:val="none" w:sz="0" w:space="0" w:color="auto" w:frame="1"/>
          <w:lang w:val="en-GB"/>
        </w:rPr>
        <w:t>Pelister</w:t>
      </w:r>
      <w:proofErr w:type="spellEnd"/>
      <w:r>
        <w:rPr>
          <w:color w:val="000000"/>
          <w:sz w:val="22"/>
          <w:szCs w:val="22"/>
          <w:bdr w:val="none" w:sz="0" w:space="0" w:color="auto" w:frame="1"/>
          <w:lang w:val="mk-MK"/>
        </w:rPr>
        <w:t>“</w:t>
      </w:r>
      <w:r>
        <w:rPr>
          <w:color w:val="000000"/>
          <w:sz w:val="22"/>
          <w:szCs w:val="22"/>
          <w:bdr w:val="none" w:sz="0" w:space="0" w:color="auto" w:frame="1"/>
          <w:lang w:val="en-GB"/>
        </w:rPr>
        <w:t xml:space="preserve"> </w:t>
      </w:r>
      <w:r w:rsidRPr="00A355B3">
        <w:rPr>
          <w:color w:val="000000"/>
          <w:sz w:val="22"/>
          <w:szCs w:val="22"/>
          <w:bdr w:val="none" w:sz="0" w:space="0" w:color="auto" w:frame="1"/>
          <w:lang w:val="en-GB"/>
        </w:rPr>
        <w:t>in</w:t>
      </w:r>
      <w:proofErr w:type="gramEnd"/>
      <w:r w:rsidRPr="00A355B3">
        <w:rPr>
          <w:color w:val="000000"/>
          <w:sz w:val="22"/>
          <w:szCs w:val="22"/>
          <w:bdr w:val="none" w:sz="0" w:space="0" w:color="auto" w:frame="1"/>
          <w:lang w:val="en-GB"/>
        </w:rPr>
        <w:t xml:space="preserve"> conducting most of the project activities.  </w:t>
      </w:r>
    </w:p>
    <w:p w14:paraId="1ADEE196" w14:textId="77777777" w:rsidR="00AE385A" w:rsidRDefault="00AE385A" w:rsidP="00AE385A">
      <w:pPr>
        <w:pStyle w:val="NormalWeb"/>
        <w:spacing w:before="0" w:beforeAutospacing="0" w:after="0" w:afterAutospacing="0" w:line="235" w:lineRule="atLeast"/>
        <w:ind w:left="346"/>
        <w:jc w:val="both"/>
        <w:rPr>
          <w:color w:val="000000"/>
          <w:sz w:val="22"/>
          <w:szCs w:val="22"/>
          <w:bdr w:val="none" w:sz="0" w:space="0" w:color="auto" w:frame="1"/>
          <w:lang w:val="en-GB"/>
        </w:rPr>
      </w:pPr>
      <w:r w:rsidRPr="00A355B3">
        <w:rPr>
          <w:color w:val="000000"/>
          <w:sz w:val="22"/>
          <w:szCs w:val="22"/>
          <w:bdr w:val="none" w:sz="0" w:space="0" w:color="auto" w:frame="1"/>
          <w:lang w:val="en-GB"/>
        </w:rPr>
        <w:t xml:space="preserve">Most of the activities which will be implemented by the Military Academy (related to the installation and maintenance of various equipment for measurement and monitoring) will be conducted on difficult terrain in the area of ​​NP </w:t>
      </w:r>
      <w:r>
        <w:rPr>
          <w:color w:val="000000"/>
          <w:sz w:val="22"/>
          <w:szCs w:val="22"/>
          <w:bdr w:val="none" w:sz="0" w:space="0" w:color="auto" w:frame="1"/>
          <w:lang w:val="mk-MK"/>
        </w:rPr>
        <w:t>„</w:t>
      </w:r>
      <w:proofErr w:type="spellStart"/>
      <w:proofErr w:type="gramStart"/>
      <w:r w:rsidRPr="00A355B3">
        <w:rPr>
          <w:color w:val="000000"/>
          <w:sz w:val="22"/>
          <w:szCs w:val="22"/>
          <w:bdr w:val="none" w:sz="0" w:space="0" w:color="auto" w:frame="1"/>
          <w:lang w:val="en-GB"/>
        </w:rPr>
        <w:t>Pelister</w:t>
      </w:r>
      <w:proofErr w:type="spellEnd"/>
      <w:r>
        <w:rPr>
          <w:color w:val="000000"/>
          <w:sz w:val="22"/>
          <w:szCs w:val="22"/>
          <w:bdr w:val="none" w:sz="0" w:space="0" w:color="auto" w:frame="1"/>
          <w:lang w:val="mk-MK"/>
        </w:rPr>
        <w:t>“</w:t>
      </w:r>
      <w:proofErr w:type="gramEnd"/>
      <w:r w:rsidRPr="00A355B3">
        <w:rPr>
          <w:color w:val="000000"/>
          <w:sz w:val="22"/>
          <w:szCs w:val="22"/>
          <w:bdr w:val="none" w:sz="0" w:space="0" w:color="auto" w:frame="1"/>
          <w:lang w:val="en-GB"/>
        </w:rPr>
        <w:t xml:space="preserve">. These activities will be implemented by the Military Academy during the project implementation period, but it is also planned to approach these terrains after the completion of the project, </w:t>
      </w:r>
      <w:proofErr w:type="gramStart"/>
      <w:r w:rsidRPr="00A355B3">
        <w:rPr>
          <w:color w:val="000000"/>
          <w:sz w:val="22"/>
          <w:szCs w:val="22"/>
          <w:bdr w:val="none" w:sz="0" w:space="0" w:color="auto" w:frame="1"/>
          <w:lang w:val="en-GB"/>
        </w:rPr>
        <w:t>in order to</w:t>
      </w:r>
      <w:proofErr w:type="gramEnd"/>
      <w:r w:rsidRPr="00A355B3">
        <w:rPr>
          <w:color w:val="000000"/>
          <w:sz w:val="22"/>
          <w:szCs w:val="22"/>
          <w:bdr w:val="none" w:sz="0" w:space="0" w:color="auto" w:frame="1"/>
          <w:lang w:val="en-GB"/>
        </w:rPr>
        <w:t xml:space="preserve"> enable the project’s sustainability. Considering that the Military </w:t>
      </w:r>
      <w:r w:rsidRPr="00A355B3">
        <w:rPr>
          <w:color w:val="000000"/>
          <w:sz w:val="22"/>
          <w:szCs w:val="22"/>
          <w:bdr w:val="none" w:sz="0" w:space="0" w:color="auto" w:frame="1"/>
          <w:lang w:val="en-GB"/>
        </w:rPr>
        <w:lastRenderedPageBreak/>
        <w:t xml:space="preserve">Academy does not have appropriate vehicles for this type of terrain, we believe that the procurement of SUVs within the project will be crucial for the smooth execution of all our activities that will be conducted in the NP </w:t>
      </w:r>
      <w:r>
        <w:rPr>
          <w:color w:val="000000"/>
          <w:sz w:val="22"/>
          <w:szCs w:val="22"/>
          <w:bdr w:val="none" w:sz="0" w:space="0" w:color="auto" w:frame="1"/>
          <w:lang w:val="mk-MK"/>
        </w:rPr>
        <w:t>„</w:t>
      </w:r>
      <w:proofErr w:type="spellStart"/>
      <w:proofErr w:type="gramStart"/>
      <w:r w:rsidRPr="00A355B3">
        <w:rPr>
          <w:color w:val="000000"/>
          <w:sz w:val="22"/>
          <w:szCs w:val="22"/>
          <w:bdr w:val="none" w:sz="0" w:space="0" w:color="auto" w:frame="1"/>
          <w:lang w:val="en-GB"/>
        </w:rPr>
        <w:t>Pelister</w:t>
      </w:r>
      <w:proofErr w:type="spellEnd"/>
      <w:r>
        <w:rPr>
          <w:color w:val="000000"/>
          <w:sz w:val="22"/>
          <w:szCs w:val="22"/>
          <w:bdr w:val="none" w:sz="0" w:space="0" w:color="auto" w:frame="1"/>
          <w:lang w:val="mk-MK"/>
        </w:rPr>
        <w:t>“</w:t>
      </w:r>
      <w:r w:rsidRPr="00A355B3">
        <w:rPr>
          <w:color w:val="000000"/>
          <w:sz w:val="22"/>
          <w:szCs w:val="22"/>
          <w:bdr w:val="none" w:sz="0" w:space="0" w:color="auto" w:frame="1"/>
          <w:lang w:val="en-GB"/>
        </w:rPr>
        <w:t xml:space="preserve"> and</w:t>
      </w:r>
      <w:proofErr w:type="gramEnd"/>
      <w:r w:rsidRPr="00A355B3">
        <w:rPr>
          <w:color w:val="000000"/>
          <w:sz w:val="22"/>
          <w:szCs w:val="22"/>
          <w:bdr w:val="none" w:sz="0" w:space="0" w:color="auto" w:frame="1"/>
          <w:lang w:val="en-GB"/>
        </w:rPr>
        <w:t xml:space="preserve"> offering continuous support and project’s sustainability.</w:t>
      </w:r>
    </w:p>
    <w:p w14:paraId="7380E558" w14:textId="77777777" w:rsidR="00AE385A" w:rsidRPr="00A355B3" w:rsidRDefault="00AE385A" w:rsidP="00AE385A">
      <w:pPr>
        <w:pStyle w:val="NormalWeb"/>
        <w:spacing w:before="0" w:beforeAutospacing="0" w:after="0" w:afterAutospacing="0" w:line="235" w:lineRule="atLeast"/>
        <w:rPr>
          <w:color w:val="000000"/>
          <w:sz w:val="22"/>
          <w:szCs w:val="22"/>
        </w:rPr>
      </w:pPr>
    </w:p>
    <w:p w14:paraId="5E132E83" w14:textId="78F1E207" w:rsidR="006F5FD0" w:rsidRPr="007331E8" w:rsidRDefault="00A52F15" w:rsidP="00584BF4">
      <w:pPr>
        <w:ind w:left="709" w:hanging="349"/>
        <w:outlineLvl w:val="0"/>
        <w:rPr>
          <w:sz w:val="22"/>
          <w:szCs w:val="22"/>
          <w:lang w:val="en-GB"/>
        </w:rPr>
      </w:pPr>
      <w:r>
        <w:rPr>
          <w:rStyle w:val="Strong"/>
          <w:sz w:val="22"/>
          <w:szCs w:val="22"/>
          <w:lang w:val="en-GB"/>
        </w:rPr>
        <w:t>8</w:t>
      </w:r>
      <w:r w:rsidR="006F5FD0" w:rsidRPr="007331E8">
        <w:rPr>
          <w:rStyle w:val="Strong"/>
          <w:sz w:val="22"/>
          <w:szCs w:val="22"/>
          <w:lang w:val="en-GB"/>
        </w:rPr>
        <w:t xml:space="preserve">. </w:t>
      </w:r>
      <w:r w:rsidR="00584BF4" w:rsidRPr="007331E8">
        <w:rPr>
          <w:rStyle w:val="Strong"/>
          <w:sz w:val="22"/>
          <w:szCs w:val="22"/>
          <w:lang w:val="en-GB"/>
        </w:rPr>
        <w:tab/>
      </w:r>
      <w:r w:rsidR="006F5FD0" w:rsidRPr="007331E8">
        <w:rPr>
          <w:rStyle w:val="Strong"/>
          <w:sz w:val="22"/>
          <w:szCs w:val="22"/>
          <w:lang w:val="en-GB"/>
        </w:rPr>
        <w:t>Number and titles of lots</w:t>
      </w:r>
    </w:p>
    <w:p w14:paraId="20EC2EF5" w14:textId="33F4D96F" w:rsidR="00E9047D" w:rsidRPr="00B33EE6" w:rsidRDefault="00364564" w:rsidP="00584BF4">
      <w:pPr>
        <w:ind w:left="709" w:hanging="349"/>
        <w:outlineLvl w:val="0"/>
        <w:rPr>
          <w:rStyle w:val="Emphasis"/>
          <w:i w:val="0"/>
          <w:sz w:val="22"/>
          <w:szCs w:val="22"/>
          <w:lang w:val="en-GB"/>
        </w:rPr>
      </w:pPr>
      <w:r w:rsidRPr="003F19F0">
        <w:rPr>
          <w:rStyle w:val="Emphasis"/>
          <w:i w:val="0"/>
          <w:sz w:val="22"/>
          <w:szCs w:val="22"/>
          <w:lang w:val="en-GB"/>
        </w:rPr>
        <w:t>O</w:t>
      </w:r>
      <w:r w:rsidR="00DA0ABA" w:rsidRPr="003F19F0">
        <w:rPr>
          <w:rStyle w:val="Emphasis"/>
          <w:i w:val="0"/>
          <w:sz w:val="22"/>
          <w:szCs w:val="22"/>
          <w:lang w:val="en-GB"/>
        </w:rPr>
        <w:t>ne lot only</w:t>
      </w:r>
    </w:p>
    <w:p w14:paraId="438C36A2" w14:textId="2A075F35" w:rsidR="006F5FD0" w:rsidRPr="00B33EE6" w:rsidRDefault="00A52F15" w:rsidP="00584BF4">
      <w:pPr>
        <w:ind w:left="709" w:hanging="349"/>
        <w:outlineLvl w:val="0"/>
        <w:rPr>
          <w:rStyle w:val="Strong"/>
          <w:sz w:val="22"/>
          <w:szCs w:val="22"/>
          <w:lang w:val="en-GB"/>
        </w:rPr>
      </w:pPr>
      <w:r>
        <w:rPr>
          <w:rStyle w:val="Strong"/>
          <w:sz w:val="22"/>
          <w:szCs w:val="22"/>
          <w:lang w:val="en-GB"/>
        </w:rPr>
        <w:t>9</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Maximum budget</w:t>
      </w:r>
    </w:p>
    <w:p w14:paraId="067560B8" w14:textId="38E63CF3" w:rsidR="00910F3A" w:rsidRDefault="004E71E7" w:rsidP="00910F3A">
      <w:pPr>
        <w:pStyle w:val="Blockquote"/>
        <w:jc w:val="both"/>
        <w:rPr>
          <w:snapToGrid/>
          <w:sz w:val="22"/>
          <w:szCs w:val="22"/>
          <w:highlight w:val="yellow"/>
          <w:lang w:val="en-GB"/>
        </w:rPr>
      </w:pPr>
      <w:r>
        <w:rPr>
          <w:sz w:val="22"/>
          <w:szCs w:val="22"/>
          <w:lang w:val="en-GB"/>
        </w:rPr>
        <w:t xml:space="preserve">EUR </w:t>
      </w:r>
      <w:r w:rsidR="00A61020">
        <w:rPr>
          <w:sz w:val="22"/>
          <w:szCs w:val="22"/>
          <w:lang w:val="en-GB"/>
        </w:rPr>
        <w:t>18</w:t>
      </w:r>
      <w:r w:rsidR="00910F3A">
        <w:rPr>
          <w:sz w:val="22"/>
          <w:szCs w:val="22"/>
          <w:lang w:val="en-GB"/>
        </w:rPr>
        <w:t>.</w:t>
      </w:r>
      <w:r w:rsidR="00A61020">
        <w:rPr>
          <w:sz w:val="22"/>
          <w:szCs w:val="22"/>
          <w:lang w:val="en-GB"/>
        </w:rPr>
        <w:t>0</w:t>
      </w:r>
      <w:r w:rsidR="00910F3A">
        <w:rPr>
          <w:sz w:val="22"/>
          <w:szCs w:val="22"/>
          <w:lang w:val="en-GB"/>
        </w:rPr>
        <w:t>00</w:t>
      </w:r>
      <w:r w:rsidR="00D61EA6">
        <w:rPr>
          <w:sz w:val="22"/>
          <w:szCs w:val="22"/>
          <w:lang w:val="en-GB"/>
        </w:rPr>
        <w:t>,00</w:t>
      </w:r>
    </w:p>
    <w:p w14:paraId="797EEE5D" w14:textId="7F415513" w:rsidR="006F5FD0" w:rsidRPr="00B33EE6" w:rsidRDefault="00D23B54">
      <w:pPr>
        <w:pStyle w:val="Blockquote"/>
        <w:jc w:val="both"/>
        <w:rPr>
          <w:sz w:val="22"/>
          <w:szCs w:val="22"/>
          <w:lang w:val="en-GB"/>
        </w:rPr>
      </w:pPr>
      <w:r>
        <w:rPr>
          <w:noProof/>
          <w:snapToGrid/>
          <w:sz w:val="22"/>
          <w:szCs w:val="22"/>
        </w:rPr>
        <mc:AlternateContent>
          <mc:Choice Requires="wps">
            <w:drawing>
              <wp:anchor distT="0" distB="0" distL="114300" distR="114300" simplePos="0" relativeHeight="251656704" behindDoc="0" locked="0" layoutInCell="0" allowOverlap="1" wp14:anchorId="16C21967" wp14:editId="02D34D18">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9927B81">
              <v:line id="Line 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1.05pt,17.55pt" to="466.95pt,17.6pt" w14:anchorId="54552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">
                <v:shadow on="t" offset="0,-1pt"/>
              </v:line>
            </w:pict>
          </mc:Fallback>
        </mc:AlternateContent>
      </w:r>
    </w:p>
    <w:p w14:paraId="158B67B7"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201689C2"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4F13C387" w14:textId="77777777" w:rsidR="000D5AF9" w:rsidRPr="00AA5298" w:rsidRDefault="000D5AF9" w:rsidP="000D5AF9">
      <w:pPr>
        <w:pStyle w:val="paragraph"/>
        <w:spacing w:before="0" w:beforeAutospacing="0" w:after="0" w:afterAutospacing="0"/>
        <w:ind w:left="709"/>
        <w:jc w:val="both"/>
        <w:textAlignment w:val="baseline"/>
        <w:rPr>
          <w:rStyle w:val="normaltextrun"/>
          <w:rFonts w:eastAsiaTheme="majorEastAsia"/>
          <w:sz w:val="22"/>
          <w:szCs w:val="22"/>
          <w:shd w:val="clear" w:color="auto" w:fill="C0C0C0"/>
          <w:lang w:val="en-GB"/>
        </w:rPr>
      </w:pPr>
      <w:r w:rsidRPr="00AA5298">
        <w:rPr>
          <w:rStyle w:val="normaltextrun"/>
          <w:rFonts w:eastAsiaTheme="majorEastAsia"/>
          <w:sz w:val="22"/>
          <w:szCs w:val="22"/>
          <w:lang w:val="en-GB"/>
        </w:rPr>
        <w:t>The legal basis of this procedure is Regulation</w:t>
      </w:r>
      <w:r w:rsidRPr="00AA5298">
        <w:rPr>
          <w:rStyle w:val="normaltextrun"/>
          <w:rFonts w:eastAsiaTheme="majorEastAsia"/>
          <w:bCs/>
          <w:sz w:val="22"/>
          <w:szCs w:val="22"/>
          <w:lang w:val="en-GB"/>
        </w:rPr>
        <w:t> </w:t>
      </w:r>
      <w:r w:rsidRPr="00AA5298">
        <w:rPr>
          <w:rStyle w:val="normaltextrun"/>
          <w:rFonts w:eastAsiaTheme="majorEastAsia"/>
          <w:sz w:val="22"/>
          <w:szCs w:val="22"/>
          <w:lang w:val="en-GB"/>
        </w:rPr>
        <w:t>(EU) No 236/2014 of the European Parliament and of the Council of 11 March 2014 laying down common rules and procedures for the implementation of the Union's instruments for financing external action and 2014-2020 instruments for external action</w:t>
      </w:r>
      <w:r w:rsidRPr="00AA5298">
        <w:rPr>
          <w:sz w:val="22"/>
          <w:szCs w:val="22"/>
        </w:rPr>
        <w:t xml:space="preserve"> </w:t>
      </w:r>
      <w:proofErr w:type="spellStart"/>
      <w:r w:rsidRPr="00AA5298">
        <w:rPr>
          <w:sz w:val="22"/>
          <w:szCs w:val="22"/>
        </w:rPr>
        <w:t>financed</w:t>
      </w:r>
      <w:proofErr w:type="spellEnd"/>
      <w:r w:rsidRPr="00AA5298">
        <w:rPr>
          <w:sz w:val="22"/>
          <w:szCs w:val="22"/>
        </w:rPr>
        <w:t xml:space="preserve"> </w:t>
      </w:r>
      <w:proofErr w:type="spellStart"/>
      <w:r w:rsidRPr="00AA5298">
        <w:rPr>
          <w:sz w:val="22"/>
          <w:szCs w:val="22"/>
        </w:rPr>
        <w:t>under</w:t>
      </w:r>
      <w:proofErr w:type="spellEnd"/>
      <w:r w:rsidRPr="00AA5298">
        <w:rPr>
          <w:sz w:val="22"/>
          <w:szCs w:val="22"/>
        </w:rPr>
        <w:t xml:space="preserve"> the CIR for IPA </w:t>
      </w:r>
      <w:proofErr w:type="gramStart"/>
      <w:r w:rsidRPr="00AA5298">
        <w:rPr>
          <w:sz w:val="22"/>
          <w:szCs w:val="22"/>
        </w:rPr>
        <w:t>II.</w:t>
      </w:r>
      <w:r w:rsidRPr="00AA5298">
        <w:rPr>
          <w:rStyle w:val="normaltextrun"/>
          <w:rFonts w:eastAsiaTheme="majorEastAsia"/>
          <w:sz w:val="22"/>
          <w:szCs w:val="22"/>
          <w:lang w:val="en-GB"/>
        </w:rPr>
        <w:t>See</w:t>
      </w:r>
      <w:proofErr w:type="gramEnd"/>
      <w:r w:rsidRPr="00AA5298">
        <w:rPr>
          <w:rStyle w:val="normaltextrun"/>
          <w:rFonts w:eastAsiaTheme="majorEastAsia"/>
          <w:sz w:val="22"/>
          <w:szCs w:val="22"/>
          <w:lang w:val="en-GB"/>
        </w:rPr>
        <w:t xml:space="preserve"> Annex A2 of the practical guide.</w:t>
      </w:r>
    </w:p>
    <w:p w14:paraId="4440FD1E" w14:textId="77777777" w:rsidR="000D5AF9" w:rsidRDefault="000D5AF9" w:rsidP="000D5AF9">
      <w:pPr>
        <w:pStyle w:val="paragraph"/>
        <w:spacing w:before="0" w:beforeAutospacing="0" w:after="0" w:afterAutospacing="0"/>
        <w:ind w:left="709"/>
        <w:jc w:val="both"/>
        <w:textAlignment w:val="baseline"/>
        <w:rPr>
          <w:rStyle w:val="normaltextrun"/>
          <w:rFonts w:eastAsiaTheme="majorEastAsia"/>
          <w:sz w:val="22"/>
          <w:szCs w:val="22"/>
          <w:shd w:val="clear" w:color="auto" w:fill="C0C0C0"/>
          <w:lang w:val="en-GB"/>
        </w:rPr>
      </w:pPr>
    </w:p>
    <w:p w14:paraId="0C3B3108" w14:textId="77777777" w:rsidR="000D5AF9" w:rsidRPr="008660AD" w:rsidRDefault="000D5AF9" w:rsidP="000D5AF9">
      <w:pPr>
        <w:pStyle w:val="paragraph"/>
        <w:spacing w:before="0" w:beforeAutospacing="0" w:after="0" w:afterAutospacing="0"/>
        <w:ind w:left="709"/>
        <w:jc w:val="both"/>
        <w:textAlignment w:val="baseline"/>
        <w:rPr>
          <w:rStyle w:val="normaltextrun"/>
          <w:rFonts w:ascii="Arial" w:eastAsiaTheme="majorEastAsia" w:hAnsi="Arial" w:cs="Arial"/>
          <w:sz w:val="22"/>
          <w:szCs w:val="22"/>
          <w:shd w:val="clear" w:color="auto" w:fill="C0C0C0"/>
          <w:lang w:val="en-IE"/>
        </w:rPr>
      </w:pPr>
      <w:r w:rsidRPr="00291E65">
        <w:rPr>
          <w:rStyle w:val="normaltextrun"/>
          <w:rFonts w:eastAsiaTheme="majorEastAsia"/>
          <w:sz w:val="22"/>
          <w:szCs w:val="22"/>
          <w:lang w:val="en-GB"/>
        </w:rPr>
        <w:t>Participation is open to all </w:t>
      </w:r>
      <w:r w:rsidRPr="00291E65">
        <w:rPr>
          <w:rStyle w:val="normaltextrun"/>
          <w:rFonts w:eastAsiaTheme="majorEastAsia"/>
          <w:sz w:val="22"/>
          <w:szCs w:val="22"/>
          <w:lang w:val="en-IE"/>
        </w:rPr>
        <w:t>natural persons who are nationals of and </w:t>
      </w:r>
      <w:r w:rsidRPr="00291E65">
        <w:rPr>
          <w:rStyle w:val="normaltextrun"/>
          <w:rFonts w:eastAsiaTheme="majorEastAsia"/>
          <w:sz w:val="22"/>
          <w:szCs w:val="22"/>
          <w:lang w:val="en-GB"/>
        </w:rPr>
        <w:t>legal persons (participating either individually or in a grouping – consortium – of candidates/tenderers) which are effectively established in a  Member State of the European Union or in a eligible country or territory as defined under </w:t>
      </w:r>
      <w:r w:rsidRPr="00291E65">
        <w:rPr>
          <w:rStyle w:val="normaltextrun"/>
          <w:rFonts w:eastAsiaTheme="majorEastAsia"/>
          <w:sz w:val="22"/>
          <w:szCs w:val="22"/>
          <w:lang w:val="en-IE"/>
        </w:rPr>
        <w:t>Article 8 of Regulation </w:t>
      </w:r>
      <w:r w:rsidRPr="00291E65">
        <w:rPr>
          <w:rStyle w:val="normaltextrun"/>
          <w:rFonts w:eastAsiaTheme="majorEastAsia"/>
          <w:sz w:val="22"/>
          <w:szCs w:val="22"/>
          <w:lang w:val="en-GB"/>
        </w:rPr>
        <w:t>(EU) No 236/2014 </w:t>
      </w:r>
      <w:r w:rsidRPr="00291E65">
        <w:rPr>
          <w:rStyle w:val="normaltextrun"/>
          <w:rFonts w:eastAsiaTheme="majorEastAsia"/>
          <w:sz w:val="22"/>
          <w:szCs w:val="22"/>
          <w:lang w:val="en-IE"/>
        </w:rPr>
        <w:t>establishing common rules and procedures for the implementation of the Union's instruments for external action (CIR) </w:t>
      </w:r>
      <w:r w:rsidRPr="00291E65">
        <w:rPr>
          <w:rStyle w:val="normaltextrun"/>
          <w:rFonts w:eastAsiaTheme="majorEastAsia"/>
          <w:sz w:val="22"/>
          <w:szCs w:val="22"/>
          <w:lang w:val="en-GB"/>
        </w:rPr>
        <w:t>for the applicable instrument under which the contract is financed</w:t>
      </w:r>
      <w:r w:rsidRPr="00291E65">
        <w:rPr>
          <w:rStyle w:val="normaltextrun"/>
          <w:rFonts w:ascii="Arial" w:eastAsiaTheme="majorEastAsia" w:hAnsi="Arial" w:cs="Arial"/>
          <w:sz w:val="22"/>
          <w:szCs w:val="22"/>
          <w:lang w:val="en-IE"/>
        </w:rPr>
        <w:t>. </w:t>
      </w:r>
    </w:p>
    <w:p w14:paraId="55D4BE2C" w14:textId="77777777" w:rsidR="000D5AF9" w:rsidRPr="008660AD" w:rsidRDefault="000D5AF9" w:rsidP="000D5AF9">
      <w:pPr>
        <w:pStyle w:val="paragraph"/>
        <w:spacing w:before="0" w:beforeAutospacing="0" w:after="0" w:afterAutospacing="0"/>
        <w:ind w:left="709"/>
        <w:jc w:val="both"/>
        <w:textAlignment w:val="baseline"/>
        <w:rPr>
          <w:rStyle w:val="normaltextrun"/>
          <w:rFonts w:ascii="Arial" w:eastAsiaTheme="majorEastAsia" w:hAnsi="Arial" w:cs="Arial"/>
          <w:sz w:val="22"/>
          <w:szCs w:val="22"/>
          <w:shd w:val="clear" w:color="auto" w:fill="C0C0C0"/>
          <w:lang w:val="en-IE"/>
        </w:rPr>
      </w:pPr>
      <w:r w:rsidRPr="00291E65">
        <w:rPr>
          <w:rStyle w:val="normaltextrun"/>
          <w:rFonts w:eastAsiaTheme="majorEastAsia"/>
          <w:sz w:val="22"/>
          <w:szCs w:val="22"/>
          <w:lang w:val="en-GB"/>
        </w:rPr>
        <w:t>Participation is also open to international organisations.</w:t>
      </w:r>
    </w:p>
    <w:p w14:paraId="5D9075A6" w14:textId="77777777" w:rsidR="000D5AF9" w:rsidRPr="006E6CA8" w:rsidRDefault="000D5AF9" w:rsidP="000D5AF9">
      <w:pPr>
        <w:ind w:left="709"/>
        <w:jc w:val="both"/>
        <w:rPr>
          <w:rFonts w:cs="Arial"/>
          <w:sz w:val="22"/>
          <w:szCs w:val="22"/>
          <w:lang w:val="en-GB"/>
        </w:rPr>
      </w:pPr>
      <w:r w:rsidRPr="00291E65">
        <w:rPr>
          <w:rFonts w:cs="Arial"/>
          <w:sz w:val="22"/>
          <w:szCs w:val="22"/>
          <w:lang w:val="en-GB"/>
        </w:rPr>
        <w:t>Participation financed by the European Instrument for Democracy and Human Rights (EIDHR) and the Instrument contributing to Stability and Peace (</w:t>
      </w:r>
      <w:proofErr w:type="spellStart"/>
      <w:r w:rsidRPr="00291E65">
        <w:rPr>
          <w:rFonts w:cs="Arial"/>
          <w:sz w:val="22"/>
          <w:szCs w:val="22"/>
          <w:lang w:val="en-GB"/>
        </w:rPr>
        <w:t>IcSP</w:t>
      </w:r>
      <w:proofErr w:type="spellEnd"/>
      <w:r w:rsidRPr="00291E65">
        <w:rPr>
          <w:rFonts w:cs="Arial"/>
          <w:sz w:val="22"/>
          <w:szCs w:val="22"/>
          <w:lang w:val="en-GB"/>
        </w:rPr>
        <w:t>)</w:t>
      </w:r>
      <w:r w:rsidRPr="00291E65">
        <w:rPr>
          <w:rStyle w:val="FootnoteReference"/>
          <w:sz w:val="22"/>
          <w:szCs w:val="22"/>
          <w:lang w:val="en-GB"/>
        </w:rPr>
        <w:footnoteReference w:id="1"/>
      </w:r>
      <w:r w:rsidRPr="00291E65">
        <w:rPr>
          <w:rFonts w:cs="Arial"/>
          <w:sz w:val="22"/>
          <w:szCs w:val="22"/>
          <w:lang w:val="en-GB"/>
        </w:rPr>
        <w:t xml:space="preserve"> is fully untied</w:t>
      </w:r>
      <w:r w:rsidRPr="00291E65">
        <w:rPr>
          <w:rStyle w:val="FootnoteReference"/>
          <w:sz w:val="22"/>
          <w:szCs w:val="22"/>
        </w:rPr>
        <w:footnoteReference w:id="2"/>
      </w:r>
      <w:r w:rsidRPr="00291E65">
        <w:rPr>
          <w:rFonts w:cs="Arial"/>
          <w:sz w:val="22"/>
          <w:szCs w:val="22"/>
          <w:lang w:val="en-GB"/>
        </w:rPr>
        <w:t>.</w:t>
      </w:r>
    </w:p>
    <w:p w14:paraId="1AD91474" w14:textId="618810CB"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14F26EF9" w14:textId="5F033096"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w:t>
      </w:r>
      <w:r w:rsidR="003F19F0">
        <w:rPr>
          <w:sz w:val="22"/>
          <w:szCs w:val="22"/>
          <w:lang w:val="en-GB"/>
        </w:rPr>
        <w:t xml:space="preserve">a </w:t>
      </w:r>
      <w:r w:rsidRPr="00B33EE6">
        <w:rPr>
          <w:sz w:val="22"/>
          <w:szCs w:val="22"/>
          <w:lang w:val="en-GB"/>
        </w:rPr>
        <w:t xml:space="preserve">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w:t>
      </w:r>
      <w:r w:rsidR="003F19F0" w:rsidRPr="00B33EE6">
        <w:rPr>
          <w:sz w:val="22"/>
          <w:szCs w:val="22"/>
          <w:lang w:val="en-GB"/>
        </w:rPr>
        <w:t>If</w:t>
      </w:r>
      <w:r w:rsidRPr="00B33EE6">
        <w:rPr>
          <w:sz w:val="22"/>
          <w:szCs w:val="22"/>
          <w:lang w:val="en-GB"/>
        </w:rPr>
        <w:t xml:space="preserve">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061BB57A"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700DCEED"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5CC8507C" w14:textId="77777777" w:rsidR="0039147E" w:rsidRPr="00B33EE6" w:rsidRDefault="00C03AF5">
      <w:pPr>
        <w:pStyle w:val="Blockquote"/>
        <w:jc w:val="both"/>
        <w:rPr>
          <w:sz w:val="22"/>
          <w:szCs w:val="22"/>
          <w:lang w:val="en-GB"/>
        </w:rPr>
      </w:pPr>
      <w:r>
        <w:rPr>
          <w:sz w:val="22"/>
          <w:szCs w:val="22"/>
          <w:lang w:val="en-GB"/>
        </w:rPr>
        <w:lastRenderedPageBreak/>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w:t>
      </w:r>
      <w:proofErr w:type="gramStart"/>
      <w:r w:rsidR="0039147E">
        <w:rPr>
          <w:sz w:val="22"/>
          <w:szCs w:val="22"/>
          <w:lang w:val="en-GB"/>
        </w:rPr>
        <w:t>at the moment</w:t>
      </w:r>
      <w:proofErr w:type="gramEnd"/>
      <w:r w:rsidR="0039147E">
        <w:rPr>
          <w:sz w:val="22"/>
          <w:szCs w:val="22"/>
          <w:lang w:val="en-GB"/>
        </w:rPr>
        <w:t xml:space="preserve"> of the award decision cannot be awarded the contract. </w:t>
      </w:r>
    </w:p>
    <w:p w14:paraId="0BC47E9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0C391CA8" w14:textId="00A04AFB"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w:t>
      </w:r>
      <w:r w:rsidR="00F40BAD">
        <w:rPr>
          <w:rStyle w:val="Emphasis"/>
          <w:i w:val="0"/>
          <w:sz w:val="22"/>
          <w:szCs w:val="22"/>
          <w:lang w:val="en-GB"/>
        </w:rPr>
        <w:t xml:space="preserve"> not</w:t>
      </w:r>
      <w:r w:rsidRPr="00B33EE6">
        <w:rPr>
          <w:rStyle w:val="Emphasis"/>
          <w:i w:val="0"/>
          <w:sz w:val="22"/>
          <w:szCs w:val="22"/>
          <w:lang w:val="en-GB"/>
        </w:rPr>
        <w:t xml:space="preserve"> allowed</w:t>
      </w:r>
      <w:r w:rsidR="000C1101" w:rsidRPr="00B33EE6">
        <w:rPr>
          <w:rStyle w:val="Emphasis"/>
          <w:i w:val="0"/>
          <w:sz w:val="22"/>
          <w:szCs w:val="22"/>
          <w:lang w:val="en-GB"/>
        </w:rPr>
        <w:t>.</w:t>
      </w:r>
    </w:p>
    <w:p w14:paraId="060D1C8C" w14:textId="20A568C1" w:rsidR="006F5FD0" w:rsidRPr="00B33EE6" w:rsidRDefault="00D23B54">
      <w:pPr>
        <w:keepNext/>
        <w:jc w:val="center"/>
        <w:rPr>
          <w:sz w:val="28"/>
          <w:szCs w:val="28"/>
          <w:lang w:val="en-GB"/>
        </w:rPr>
      </w:pPr>
      <w:r>
        <w:rPr>
          <w:noProof/>
          <w:snapToGrid/>
          <w:sz w:val="22"/>
          <w:szCs w:val="22"/>
        </w:rPr>
        <mc:AlternateContent>
          <mc:Choice Requires="wps">
            <w:drawing>
              <wp:anchor distT="0" distB="0" distL="114300" distR="114300" simplePos="0" relativeHeight="251657728" behindDoc="0" locked="0" layoutInCell="0" allowOverlap="1" wp14:anchorId="2F5542D6" wp14:editId="7E305E7A">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61F7127">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1.5pt,2.05pt" to="469.5pt,2.1pt" w14:anchorId="104D7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">
                <v:shadow on="t" offset="0,-1pt"/>
              </v:line>
            </w:pict>
          </mc:Fallback>
        </mc:AlternateContent>
      </w:r>
      <w:r w:rsidR="006F5FD0" w:rsidRPr="00B33EE6">
        <w:rPr>
          <w:rStyle w:val="Strong"/>
          <w:sz w:val="28"/>
          <w:szCs w:val="28"/>
          <w:lang w:val="en-GB"/>
        </w:rPr>
        <w:t>PROVISIONAL TIMETABLE</w:t>
      </w:r>
    </w:p>
    <w:p w14:paraId="400CCD39"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4629DD8C" w14:textId="5CCEFD5A" w:rsidR="006F5FD0" w:rsidRPr="00AD5395" w:rsidRDefault="00D731C7" w:rsidP="00571687">
      <w:pPr>
        <w:pStyle w:val="Blockquote"/>
        <w:jc w:val="both"/>
        <w:rPr>
          <w:iCs/>
          <w:sz w:val="22"/>
          <w:szCs w:val="22"/>
          <w:lang w:val="en-GB"/>
        </w:rPr>
      </w:pPr>
      <w:r>
        <w:rPr>
          <w:iCs/>
          <w:sz w:val="22"/>
          <w:szCs w:val="22"/>
          <w:lang w:val="en-GB"/>
        </w:rPr>
        <w:t>30</w:t>
      </w:r>
      <w:r w:rsidR="00AD5395" w:rsidRPr="00AD5395">
        <w:rPr>
          <w:iCs/>
          <w:sz w:val="22"/>
          <w:szCs w:val="22"/>
          <w:lang w:val="en-GB"/>
        </w:rPr>
        <w:t>.0</w:t>
      </w:r>
      <w:r>
        <w:rPr>
          <w:iCs/>
          <w:sz w:val="22"/>
          <w:szCs w:val="22"/>
          <w:lang w:val="en-GB"/>
        </w:rPr>
        <w:t>5</w:t>
      </w:r>
      <w:r w:rsidR="00AD5395" w:rsidRPr="00AD5395">
        <w:rPr>
          <w:iCs/>
          <w:sz w:val="22"/>
          <w:szCs w:val="22"/>
          <w:lang w:val="en-GB"/>
        </w:rPr>
        <w:t>.2022</w:t>
      </w:r>
    </w:p>
    <w:p w14:paraId="4F251588" w14:textId="62C3CD8A"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567123B4" w14:textId="0139A949" w:rsidR="00383591" w:rsidRPr="00383591" w:rsidRDefault="00383591" w:rsidP="00383591">
      <w:pPr>
        <w:pStyle w:val="Blockquote"/>
        <w:jc w:val="both"/>
        <w:rPr>
          <w:sz w:val="22"/>
          <w:szCs w:val="22"/>
          <w:lang w:val="en-GB"/>
        </w:rPr>
      </w:pPr>
      <w:r w:rsidRPr="00383591">
        <w:rPr>
          <w:snapToGrid/>
          <w:sz w:val="22"/>
          <w:szCs w:val="22"/>
          <w:lang w:val="en-GB" w:eastAsia="en-GB"/>
        </w:rPr>
        <w:t xml:space="preserve">Delivery of the </w:t>
      </w:r>
      <w:r w:rsidR="00937270">
        <w:rPr>
          <w:snapToGrid/>
          <w:sz w:val="22"/>
          <w:szCs w:val="22"/>
          <w:lang w:val="en-GB" w:eastAsia="en-GB"/>
        </w:rPr>
        <w:t>suppli</w:t>
      </w:r>
      <w:r w:rsidR="00650FF6">
        <w:rPr>
          <w:snapToGrid/>
          <w:sz w:val="22"/>
          <w:szCs w:val="22"/>
          <w:lang w:val="en-GB" w:eastAsia="en-GB"/>
        </w:rPr>
        <w:t xml:space="preserve">es, </w:t>
      </w:r>
      <w:r w:rsidR="002435BC">
        <w:rPr>
          <w:b/>
          <w:bCs/>
          <w:color w:val="000000"/>
          <w:lang w:eastAsia="mk-MK"/>
        </w:rPr>
        <w:t>Terrain vehicle</w:t>
      </w:r>
      <w:r w:rsidRPr="00383591">
        <w:rPr>
          <w:snapToGrid/>
          <w:sz w:val="22"/>
          <w:szCs w:val="22"/>
          <w:lang w:val="en-GB" w:eastAsia="en-GB"/>
        </w:rPr>
        <w:t xml:space="preserve"> </w:t>
      </w:r>
      <w:r w:rsidR="0054791D">
        <w:rPr>
          <w:snapToGrid/>
          <w:sz w:val="22"/>
          <w:szCs w:val="22"/>
          <w:lang w:val="en-GB" w:eastAsia="en-GB"/>
        </w:rPr>
        <w:t xml:space="preserve">to be </w:t>
      </w:r>
      <w:r w:rsidR="00A249B6" w:rsidRPr="007331E8">
        <w:rPr>
          <w:b/>
          <w:bCs/>
          <w:snapToGrid/>
          <w:sz w:val="22"/>
          <w:szCs w:val="22"/>
          <w:lang w:val="en-GB" w:eastAsia="en-GB"/>
        </w:rPr>
        <w:t xml:space="preserve">No later than </w:t>
      </w:r>
      <w:r w:rsidR="002435BC">
        <w:rPr>
          <w:b/>
          <w:bCs/>
          <w:snapToGrid/>
          <w:sz w:val="22"/>
          <w:szCs w:val="22"/>
          <w:lang w:val="en-GB" w:eastAsia="en-GB"/>
        </w:rPr>
        <w:t>45</w:t>
      </w:r>
      <w:r w:rsidRPr="007331E8">
        <w:rPr>
          <w:b/>
          <w:bCs/>
          <w:snapToGrid/>
          <w:sz w:val="22"/>
          <w:szCs w:val="22"/>
          <w:lang w:val="en-GB" w:eastAsia="en-GB"/>
        </w:rPr>
        <w:t xml:space="preserve"> days</w:t>
      </w:r>
      <w:r w:rsidRPr="007331E8">
        <w:rPr>
          <w:snapToGrid/>
          <w:sz w:val="22"/>
          <w:szCs w:val="22"/>
          <w:lang w:val="en-GB" w:eastAsia="en-GB"/>
        </w:rPr>
        <w:t xml:space="preserve"> </w:t>
      </w:r>
      <w:r w:rsidRPr="00383591">
        <w:rPr>
          <w:snapToGrid/>
          <w:sz w:val="22"/>
          <w:szCs w:val="22"/>
          <w:lang w:val="en-GB" w:eastAsia="en-GB"/>
        </w:rPr>
        <w:t xml:space="preserve">after </w:t>
      </w:r>
      <w:r w:rsidR="004D2BF3">
        <w:rPr>
          <w:snapToGrid/>
          <w:sz w:val="22"/>
          <w:szCs w:val="22"/>
          <w:lang w:val="en-GB" w:eastAsia="en-GB"/>
        </w:rPr>
        <w:t xml:space="preserve">the </w:t>
      </w:r>
      <w:r w:rsidRPr="00383591">
        <w:rPr>
          <w:snapToGrid/>
          <w:sz w:val="22"/>
          <w:szCs w:val="22"/>
          <w:lang w:val="en-GB" w:eastAsia="en-GB"/>
        </w:rPr>
        <w:t xml:space="preserve">date of signature of the contract by both parties on </w:t>
      </w:r>
      <w:r w:rsidR="00D731C7">
        <w:rPr>
          <w:snapToGrid/>
          <w:sz w:val="22"/>
          <w:szCs w:val="22"/>
          <w:lang w:val="en-GB" w:eastAsia="en-GB"/>
        </w:rPr>
        <w:t>30</w:t>
      </w:r>
      <w:r w:rsidRPr="00383591">
        <w:rPr>
          <w:snapToGrid/>
          <w:sz w:val="22"/>
          <w:szCs w:val="22"/>
          <w:lang w:val="en-GB" w:eastAsia="en-GB"/>
        </w:rPr>
        <w:t xml:space="preserve">-th </w:t>
      </w:r>
      <w:r w:rsidR="00D731C7">
        <w:rPr>
          <w:snapToGrid/>
          <w:sz w:val="22"/>
          <w:szCs w:val="22"/>
          <w:lang w:val="en-GB" w:eastAsia="en-GB"/>
        </w:rPr>
        <w:t>May</w:t>
      </w:r>
      <w:r w:rsidRPr="00383591">
        <w:rPr>
          <w:snapToGrid/>
          <w:sz w:val="22"/>
          <w:szCs w:val="22"/>
          <w:lang w:val="en-GB" w:eastAsia="en-GB"/>
        </w:rPr>
        <w:t xml:space="preserve"> 2022.</w:t>
      </w:r>
    </w:p>
    <w:p w14:paraId="4709A308" w14:textId="77777777" w:rsidR="00383591" w:rsidRDefault="00383591" w:rsidP="006E7EF4">
      <w:pPr>
        <w:pStyle w:val="Blockquote"/>
        <w:jc w:val="both"/>
        <w:rPr>
          <w:rStyle w:val="Emphasis"/>
          <w:i w:val="0"/>
          <w:sz w:val="22"/>
          <w:szCs w:val="22"/>
          <w:lang w:val="en-GB"/>
        </w:rPr>
      </w:pPr>
    </w:p>
    <w:p w14:paraId="1477EF56" w14:textId="511A90E7" w:rsidR="006F5FD0" w:rsidRPr="00B33EE6" w:rsidRDefault="00D23B54" w:rsidP="006E7EF4">
      <w:pPr>
        <w:pStyle w:val="Blockquote"/>
        <w:jc w:val="both"/>
        <w:rPr>
          <w:sz w:val="22"/>
          <w:szCs w:val="22"/>
          <w:lang w:val="en-GB"/>
        </w:rPr>
      </w:pPr>
      <w:r>
        <w:rPr>
          <w:noProof/>
          <w:snapToGrid/>
          <w:sz w:val="22"/>
          <w:szCs w:val="22"/>
        </w:rPr>
        <mc:AlternateContent>
          <mc:Choice Requires="wps">
            <w:drawing>
              <wp:anchor distT="0" distB="0" distL="114300" distR="114300" simplePos="0" relativeHeight="251658752" behindDoc="0" locked="0" layoutInCell="0" allowOverlap="1" wp14:anchorId="74F1CAFB" wp14:editId="691E7926">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4BEC200">
              <v:line id="Line 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0,12pt" to="468pt,12.05pt" w14:anchorId="2682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v:shadow on="t" offset="0,-1pt"/>
              </v:line>
            </w:pict>
          </mc:Fallback>
        </mc:AlternateContent>
      </w:r>
    </w:p>
    <w:p w14:paraId="582581FE"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31F8DF9D"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78D8ED8C" w14:textId="77777777" w:rsidR="000D5AF9" w:rsidRPr="00AE0634" w:rsidRDefault="000D5AF9" w:rsidP="000D5AF9">
      <w:pPr>
        <w:widowControl/>
        <w:spacing w:before="240" w:after="0"/>
        <w:ind w:left="426"/>
        <w:jc w:val="both"/>
        <w:rPr>
          <w:sz w:val="22"/>
          <w:szCs w:val="22"/>
          <w:lang w:val="en-GB"/>
        </w:rPr>
      </w:pPr>
      <w:r w:rsidRPr="00AE0634">
        <w:rPr>
          <w:sz w:val="22"/>
          <w:szCs w:val="22"/>
          <w:lang w:val="en-GB"/>
        </w:rPr>
        <w:t>Capacity-providing entities</w:t>
      </w:r>
    </w:p>
    <w:p w14:paraId="351E1051" w14:textId="77777777" w:rsidR="000D5AF9" w:rsidRPr="00AE0634" w:rsidRDefault="000D5AF9" w:rsidP="000D5AF9">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w:t>
      </w:r>
      <w:proofErr w:type="gramStart"/>
      <w:r>
        <w:rPr>
          <w:sz w:val="22"/>
          <w:szCs w:val="22"/>
          <w:lang w:val="en-GB"/>
        </w:rPr>
        <w:t>i.e.</w:t>
      </w:r>
      <w:proofErr w:type="gramEnd"/>
      <w:r>
        <w:rPr>
          <w:sz w:val="22"/>
          <w:szCs w:val="22"/>
          <w:lang w:val="en-GB"/>
        </w:rPr>
        <w:t xml:space="preserv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5D64C206" w14:textId="77777777" w:rsidR="000D5AF9" w:rsidRPr="00AE0634" w:rsidRDefault="000D5AF9" w:rsidP="000D5AF9">
      <w:pPr>
        <w:widowControl/>
        <w:spacing w:before="240" w:after="0"/>
        <w:ind w:left="426"/>
        <w:jc w:val="both"/>
        <w:rPr>
          <w:sz w:val="22"/>
          <w:szCs w:val="22"/>
          <w:lang w:val="en-GB"/>
        </w:rPr>
      </w:pPr>
      <w:proofErr w:type="gramStart"/>
      <w:r w:rsidRPr="00AE0634">
        <w:rPr>
          <w:sz w:val="22"/>
          <w:szCs w:val="22"/>
          <w:lang w:val="en-GB"/>
        </w:rPr>
        <w:t>With regard to</w:t>
      </w:r>
      <w:proofErr w:type="gramEnd"/>
      <w:r w:rsidRPr="00AE0634">
        <w:rPr>
          <w:sz w:val="22"/>
          <w:szCs w:val="22"/>
          <w:lang w:val="en-GB"/>
        </w:rPr>
        <w:t xml:space="preserve"> technical and professional criteria, an economic operator may only rely on the capacities of other entities where the latter will perform the tasks for which these capacities are required. </w:t>
      </w:r>
    </w:p>
    <w:p w14:paraId="7D744EC5" w14:textId="77777777" w:rsidR="000D5AF9" w:rsidRDefault="000D5AF9" w:rsidP="000D5AF9">
      <w:pPr>
        <w:widowControl/>
        <w:spacing w:before="240" w:after="0"/>
        <w:ind w:left="426"/>
        <w:jc w:val="both"/>
        <w:rPr>
          <w:sz w:val="22"/>
          <w:szCs w:val="22"/>
          <w:highlight w:val="yellow"/>
          <w:lang w:val="en-GB"/>
        </w:rPr>
      </w:pPr>
      <w:proofErr w:type="gramStart"/>
      <w:r w:rsidRPr="00AE0634">
        <w:rPr>
          <w:sz w:val="22"/>
          <w:szCs w:val="22"/>
          <w:lang w:val="en-GB"/>
        </w:rPr>
        <w:t>With regard to</w:t>
      </w:r>
      <w:proofErr w:type="gramEnd"/>
      <w:r w:rsidRPr="00AE0634">
        <w:rPr>
          <w:sz w:val="22"/>
          <w:szCs w:val="22"/>
          <w:lang w:val="en-GB"/>
        </w:rPr>
        <w:t xml:space="preserve"> economic and financial criteria, the entities upon whose capacity the economic operator relies, become jointly and severally liable for t</w:t>
      </w:r>
      <w:r>
        <w:rPr>
          <w:sz w:val="22"/>
          <w:szCs w:val="22"/>
          <w:lang w:val="en-GB"/>
        </w:rPr>
        <w:t>he performance of the contract.</w:t>
      </w:r>
    </w:p>
    <w:p w14:paraId="71FEDFAA" w14:textId="77777777" w:rsidR="000D5AF9" w:rsidRPr="00B33EE6" w:rsidRDefault="000D5AF9" w:rsidP="000D5AF9">
      <w:pPr>
        <w:ind w:left="709" w:hanging="349"/>
        <w:outlineLvl w:val="0"/>
        <w:rPr>
          <w:sz w:val="22"/>
          <w:szCs w:val="22"/>
          <w:lang w:val="en-GB"/>
        </w:rPr>
      </w:pPr>
    </w:p>
    <w:p w14:paraId="59D75F96" w14:textId="77777777" w:rsidR="000D5AF9" w:rsidRPr="00B33EE6" w:rsidRDefault="000D5AF9" w:rsidP="000D5AF9">
      <w:pPr>
        <w:pStyle w:val="Blockquote"/>
        <w:ind w:left="426"/>
        <w:jc w:val="both"/>
        <w:rPr>
          <w:sz w:val="22"/>
          <w:szCs w:val="22"/>
          <w:lang w:val="en-GB"/>
        </w:rPr>
      </w:pPr>
      <w:r w:rsidRPr="00B33EE6">
        <w:rPr>
          <w:sz w:val="22"/>
          <w:szCs w:val="22"/>
          <w:lang w:val="en-GB"/>
        </w:rPr>
        <w:t xml:space="preserve">The following selection criteria will be applied to the tenderers. In the case of tenders submitted by a consortium, these selection criteria will be applied to the consortium </w:t>
      </w:r>
      <w:proofErr w:type="gramStart"/>
      <w:r w:rsidRPr="00B33EE6">
        <w:rPr>
          <w:sz w:val="22"/>
          <w:szCs w:val="22"/>
          <w:lang w:val="en-GB"/>
        </w:rPr>
        <w:t>as a whole if</w:t>
      </w:r>
      <w:proofErr w:type="gramEnd"/>
      <w:r w:rsidRPr="00B33EE6">
        <w:rPr>
          <w:sz w:val="22"/>
          <w:szCs w:val="22"/>
          <w:lang w:val="en-GB"/>
        </w:rPr>
        <w:t xml:space="preserve"> not specified otherwise. The selection criteria will not be applied to natural persons and single-member </w:t>
      </w:r>
      <w:r w:rsidRPr="00B33EE6">
        <w:rPr>
          <w:sz w:val="22"/>
          <w:szCs w:val="22"/>
          <w:lang w:val="en-GB"/>
        </w:rPr>
        <w:lastRenderedPageBreak/>
        <w:t>companies when they are sub-contractors.</w:t>
      </w:r>
    </w:p>
    <w:p w14:paraId="367AEDD0" w14:textId="77777777" w:rsidR="000D5AF9" w:rsidRDefault="000D5AF9" w:rsidP="000D5AF9">
      <w:pPr>
        <w:pStyle w:val="Blockquote"/>
        <w:numPr>
          <w:ilvl w:val="0"/>
          <w:numId w:val="48"/>
        </w:numPr>
        <w:ind w:right="357"/>
        <w:jc w:val="both"/>
        <w:rPr>
          <w:sz w:val="22"/>
          <w:szCs w:val="22"/>
          <w:lang w:val="en-GB"/>
        </w:rPr>
      </w:pPr>
      <w:r w:rsidRPr="00B33EE6">
        <w:rPr>
          <w:b/>
          <w:sz w:val="22"/>
          <w:szCs w:val="22"/>
          <w:u w:val="single"/>
          <w:lang w:val="en-GB"/>
        </w:rPr>
        <w:t>Economic and financial capacity of the tenderer</w:t>
      </w:r>
      <w:r>
        <w:rPr>
          <w:b/>
          <w:sz w:val="22"/>
          <w:szCs w:val="22"/>
          <w:lang w:val="en-GB"/>
        </w:rPr>
        <w:t xml:space="preserve"> - it is not required</w:t>
      </w:r>
    </w:p>
    <w:p w14:paraId="250202C1" w14:textId="77777777" w:rsidR="000D5AF9" w:rsidRPr="00B33EE6" w:rsidRDefault="000D5AF9" w:rsidP="000D5AF9">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Pr="00B33EE6">
        <w:rPr>
          <w:b/>
          <w:sz w:val="22"/>
          <w:szCs w:val="22"/>
          <w:u w:val="single"/>
          <w:lang w:val="en-GB"/>
        </w:rPr>
        <w:t xml:space="preserve">Professional capacity of the </w:t>
      </w:r>
      <w:proofErr w:type="gramStart"/>
      <w:r w:rsidRPr="00B33EE6">
        <w:rPr>
          <w:b/>
          <w:sz w:val="22"/>
          <w:szCs w:val="22"/>
          <w:u w:val="single"/>
          <w:lang w:val="en-GB"/>
        </w:rPr>
        <w:t>tenderer(</w:t>
      </w:r>
      <w:proofErr w:type="gramEnd"/>
      <w:r w:rsidRPr="00B33EE6">
        <w:rPr>
          <w:sz w:val="22"/>
          <w:szCs w:val="22"/>
          <w:lang w:val="en-GB"/>
        </w:rPr>
        <w:t>based on items 4 of the tender form).</w:t>
      </w:r>
    </w:p>
    <w:p w14:paraId="593076CF" w14:textId="77777777" w:rsidR="000D5AF9" w:rsidRPr="00B33EE6" w:rsidRDefault="000D5AF9" w:rsidP="000D5AF9">
      <w:pPr>
        <w:pStyle w:val="Blockquote"/>
        <w:ind w:right="357" w:hanging="3"/>
        <w:jc w:val="both"/>
        <w:rPr>
          <w:sz w:val="22"/>
          <w:szCs w:val="22"/>
          <w:lang w:val="en-GB"/>
        </w:rPr>
      </w:pPr>
      <w:r w:rsidRPr="00B33EE6">
        <w:rPr>
          <w:sz w:val="22"/>
          <w:szCs w:val="22"/>
          <w:lang w:val="en-GB"/>
        </w:rPr>
        <w:t xml:space="preserve">The reference period which will be </w:t>
      </w:r>
      <w:proofErr w:type="gramStart"/>
      <w:r w:rsidRPr="00B33EE6">
        <w:rPr>
          <w:sz w:val="22"/>
          <w:szCs w:val="22"/>
          <w:lang w:val="en-GB"/>
        </w:rPr>
        <w:t>taken into account</w:t>
      </w:r>
      <w:proofErr w:type="gramEnd"/>
      <w:r w:rsidRPr="00B33EE6">
        <w:rPr>
          <w:sz w:val="22"/>
          <w:szCs w:val="22"/>
          <w:lang w:val="en-GB"/>
        </w:rPr>
        <w:t xml:space="preserve"> will be the last </w:t>
      </w:r>
      <w:r w:rsidRPr="00C867B9">
        <w:rPr>
          <w:sz w:val="22"/>
          <w:szCs w:val="22"/>
          <w:lang w:val="en-GB"/>
        </w:rPr>
        <w:t xml:space="preserve">three </w:t>
      </w:r>
      <w:proofErr w:type="spellStart"/>
      <w:r w:rsidRPr="00C867B9">
        <w:rPr>
          <w:sz w:val="22"/>
          <w:szCs w:val="22"/>
          <w:lang w:val="en-GB"/>
        </w:rPr>
        <w:t>years</w:t>
      </w:r>
      <w:r>
        <w:rPr>
          <w:sz w:val="22"/>
          <w:szCs w:val="22"/>
          <w:lang w:val="en-GB"/>
        </w:rPr>
        <w:t>preceding</w:t>
      </w:r>
      <w:proofErr w:type="spellEnd"/>
      <w:r>
        <w:rPr>
          <w:sz w:val="22"/>
          <w:szCs w:val="22"/>
          <w:lang w:val="en-GB"/>
        </w:rPr>
        <w:t xml:space="preserve"> the</w:t>
      </w:r>
      <w:r w:rsidRPr="00B33EE6">
        <w:rPr>
          <w:sz w:val="22"/>
          <w:szCs w:val="22"/>
          <w:lang w:val="en-GB"/>
        </w:rPr>
        <w:t xml:space="preserve"> submission deadline.</w:t>
      </w:r>
    </w:p>
    <w:p w14:paraId="334AD517" w14:textId="77777777" w:rsidR="000D5AF9" w:rsidRPr="000120EF" w:rsidRDefault="000D5AF9" w:rsidP="000D5AF9">
      <w:pPr>
        <w:pStyle w:val="Blockquote"/>
        <w:jc w:val="both"/>
        <w:rPr>
          <w:b/>
          <w:sz w:val="22"/>
          <w:szCs w:val="22"/>
          <w:lang w:val="en-GB"/>
        </w:rPr>
      </w:pPr>
      <w:r w:rsidRPr="000120EF">
        <w:rPr>
          <w:b/>
          <w:sz w:val="22"/>
          <w:szCs w:val="22"/>
          <w:lang w:val="en-GB"/>
        </w:rPr>
        <w:t xml:space="preserve">Professional criteria for </w:t>
      </w:r>
      <w:r w:rsidRPr="000120EF">
        <w:rPr>
          <w:b/>
          <w:sz w:val="22"/>
          <w:szCs w:val="22"/>
          <w:u w:val="single"/>
          <w:lang w:val="en-GB"/>
        </w:rPr>
        <w:t>legal and natural</w:t>
      </w:r>
      <w:r w:rsidRPr="000120EF">
        <w:rPr>
          <w:b/>
          <w:sz w:val="22"/>
          <w:szCs w:val="22"/>
          <w:lang w:val="en-GB"/>
        </w:rPr>
        <w:t xml:space="preserve"> persons:</w:t>
      </w:r>
    </w:p>
    <w:p w14:paraId="58DDB0CA" w14:textId="77777777" w:rsidR="000D5AF9" w:rsidRPr="000120EF" w:rsidRDefault="000D5AF9" w:rsidP="000D5AF9">
      <w:pPr>
        <w:pStyle w:val="Blockquote"/>
        <w:numPr>
          <w:ilvl w:val="0"/>
          <w:numId w:val="34"/>
        </w:numPr>
        <w:ind w:firstLine="0"/>
        <w:jc w:val="both"/>
        <w:rPr>
          <w:sz w:val="22"/>
          <w:szCs w:val="22"/>
          <w:lang w:val="en-GB"/>
        </w:rPr>
      </w:pPr>
      <w:r w:rsidRPr="000120EF">
        <w:rPr>
          <w:sz w:val="22"/>
          <w:szCs w:val="22"/>
          <w:lang w:val="en-GB"/>
        </w:rPr>
        <w:t xml:space="preserve">The </w:t>
      </w:r>
      <w:r>
        <w:rPr>
          <w:sz w:val="22"/>
          <w:szCs w:val="22"/>
          <w:lang w:val="en-GB"/>
        </w:rPr>
        <w:t>t</w:t>
      </w:r>
      <w:r w:rsidRPr="000120EF">
        <w:rPr>
          <w:sz w:val="22"/>
          <w:szCs w:val="22"/>
          <w:lang w:val="en-GB"/>
        </w:rPr>
        <w:t xml:space="preserve">enderer, if he is not the manufacturer of </w:t>
      </w:r>
      <w:r w:rsidRPr="009943DC">
        <w:rPr>
          <w:sz w:val="22"/>
          <w:szCs w:val="22"/>
          <w:lang w:val="en-GB"/>
        </w:rPr>
        <w:t xml:space="preserve">the </w:t>
      </w:r>
      <w:r w:rsidRPr="009943DC">
        <w:rPr>
          <w:sz w:val="22"/>
          <w:szCs w:val="22"/>
          <w:bdr w:val="none" w:sz="0" w:space="0" w:color="auto" w:frame="1"/>
          <w:lang w:val="en-GB"/>
        </w:rPr>
        <w:t>IT equipment, tools, and devices</w:t>
      </w:r>
      <w:r w:rsidRPr="009943DC">
        <w:rPr>
          <w:sz w:val="22"/>
          <w:szCs w:val="22"/>
          <w:lang w:val="en-GB"/>
        </w:rPr>
        <w:t xml:space="preserve">, must possess valid authorization(s) from the manufacturer(s) (provided directly or indirectly) for delivery and maintenance under warranty of the offered types of </w:t>
      </w:r>
      <w:r w:rsidRPr="009943DC">
        <w:rPr>
          <w:sz w:val="22"/>
          <w:szCs w:val="22"/>
          <w:bdr w:val="none" w:sz="0" w:space="0" w:color="auto" w:frame="1"/>
          <w:lang w:val="en-GB"/>
        </w:rPr>
        <w:t>IT equipment, tools, and devices</w:t>
      </w:r>
      <w:r w:rsidRPr="009943DC">
        <w:rPr>
          <w:sz w:val="22"/>
          <w:szCs w:val="22"/>
          <w:lang w:val="en-GB"/>
        </w:rPr>
        <w:t>.</w:t>
      </w:r>
    </w:p>
    <w:p w14:paraId="4BD422A1" w14:textId="77777777" w:rsidR="000D5AF9" w:rsidRPr="00B33EE6" w:rsidRDefault="000D5AF9" w:rsidP="000D5AF9">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t xml:space="preserve">Technical capacity of </w:t>
      </w:r>
      <w:proofErr w:type="gramStart"/>
      <w:r>
        <w:rPr>
          <w:b/>
          <w:sz w:val="22"/>
          <w:szCs w:val="22"/>
          <w:u w:val="single"/>
          <w:lang w:val="en-GB"/>
        </w:rPr>
        <w:t>tenderer</w:t>
      </w:r>
      <w:r w:rsidRPr="00B33EE6">
        <w:rPr>
          <w:sz w:val="22"/>
          <w:szCs w:val="22"/>
          <w:lang w:val="en-GB"/>
        </w:rPr>
        <w:t>(</w:t>
      </w:r>
      <w:proofErr w:type="gramEnd"/>
      <w:r w:rsidRPr="00B33EE6">
        <w:rPr>
          <w:sz w:val="22"/>
          <w:szCs w:val="22"/>
          <w:lang w:val="en-GB"/>
        </w:rPr>
        <w:t xml:space="preserve">based on items 5 and 6 of the tender form). The reference period which will be </w:t>
      </w:r>
      <w:proofErr w:type="gramStart"/>
      <w:r w:rsidRPr="00B33EE6">
        <w:rPr>
          <w:sz w:val="22"/>
          <w:szCs w:val="22"/>
          <w:lang w:val="en-GB"/>
        </w:rPr>
        <w:t>taken into account</w:t>
      </w:r>
      <w:proofErr w:type="gramEnd"/>
      <w:r w:rsidRPr="00B33EE6">
        <w:rPr>
          <w:sz w:val="22"/>
          <w:szCs w:val="22"/>
          <w:lang w:val="en-GB"/>
        </w:rPr>
        <w:t xml:space="preserve"> will be the last </w:t>
      </w:r>
      <w:proofErr w:type="spellStart"/>
      <w:r w:rsidRPr="003804BC">
        <w:rPr>
          <w:sz w:val="22"/>
          <w:szCs w:val="22"/>
          <w:lang w:val="en-GB"/>
        </w:rPr>
        <w:t>threeyears</w:t>
      </w:r>
      <w:r>
        <w:rPr>
          <w:sz w:val="22"/>
          <w:szCs w:val="22"/>
          <w:lang w:val="en-GB"/>
        </w:rPr>
        <w:t>preceding</w:t>
      </w:r>
      <w:proofErr w:type="spellEnd"/>
      <w:r>
        <w:rPr>
          <w:sz w:val="22"/>
          <w:szCs w:val="22"/>
          <w:lang w:val="en-GB"/>
        </w:rPr>
        <w:t xml:space="preserve"> the</w:t>
      </w:r>
      <w:r w:rsidRPr="00B33EE6">
        <w:rPr>
          <w:sz w:val="22"/>
          <w:szCs w:val="22"/>
          <w:lang w:val="en-GB"/>
        </w:rPr>
        <w:t xml:space="preserve"> submission deadline.</w:t>
      </w:r>
    </w:p>
    <w:p w14:paraId="24414DE3" w14:textId="77777777" w:rsidR="000D5AF9" w:rsidRPr="00B33EE6" w:rsidRDefault="000D5AF9" w:rsidP="000D5AF9">
      <w:pPr>
        <w:tabs>
          <w:tab w:val="left" w:pos="709"/>
        </w:tabs>
        <w:ind w:left="709" w:hanging="283"/>
        <w:rPr>
          <w:b/>
          <w:sz w:val="22"/>
          <w:szCs w:val="22"/>
          <w:lang w:val="en-GB"/>
        </w:rPr>
      </w:pPr>
      <w:r w:rsidRPr="008831F1">
        <w:rPr>
          <w:b/>
          <w:sz w:val="22"/>
          <w:szCs w:val="22"/>
          <w:lang w:val="en-GB"/>
        </w:rPr>
        <w:t xml:space="preserve"> Technical</w:t>
      </w:r>
      <w:r w:rsidRPr="00B33EE6">
        <w:rPr>
          <w:b/>
          <w:sz w:val="22"/>
          <w:szCs w:val="22"/>
          <w:lang w:val="en-GB"/>
        </w:rPr>
        <w:t xml:space="preserve"> criterion for </w:t>
      </w:r>
      <w:r w:rsidRPr="00B33EE6">
        <w:rPr>
          <w:b/>
          <w:sz w:val="22"/>
          <w:szCs w:val="22"/>
          <w:u w:val="single"/>
          <w:lang w:val="en-GB"/>
        </w:rPr>
        <w:t>legal and natural</w:t>
      </w:r>
      <w:r w:rsidRPr="00B33EE6">
        <w:rPr>
          <w:b/>
          <w:sz w:val="22"/>
          <w:szCs w:val="22"/>
          <w:lang w:val="en-GB"/>
        </w:rPr>
        <w:t xml:space="preserve"> persons:</w:t>
      </w:r>
    </w:p>
    <w:p w14:paraId="7855B74E" w14:textId="77777777" w:rsidR="000D5AF9" w:rsidRPr="00C85AFE" w:rsidRDefault="000D5AF9" w:rsidP="000D5AF9">
      <w:pPr>
        <w:numPr>
          <w:ilvl w:val="0"/>
          <w:numId w:val="34"/>
        </w:numPr>
        <w:ind w:firstLine="0"/>
        <w:rPr>
          <w:sz w:val="22"/>
          <w:szCs w:val="22"/>
          <w:lang w:val="en-GB"/>
        </w:rPr>
      </w:pPr>
      <w:r w:rsidRPr="00C85AFE">
        <w:rPr>
          <w:sz w:val="22"/>
          <w:szCs w:val="22"/>
          <w:lang w:val="en-GB"/>
        </w:rPr>
        <w:t>the tenderer has delivered supplies under at least one (1) contract</w:t>
      </w:r>
      <w:r>
        <w:rPr>
          <w:sz w:val="22"/>
          <w:szCs w:val="22"/>
          <w:lang w:val="en-GB"/>
        </w:rPr>
        <w:t xml:space="preserve"> </w:t>
      </w:r>
      <w:r w:rsidRPr="00C85AFE">
        <w:rPr>
          <w:sz w:val="22"/>
          <w:szCs w:val="22"/>
          <w:lang w:val="en-GB"/>
        </w:rPr>
        <w:t>with a budget of at least that of the financial offer for the proposed contract in fields related to this contract, implemented at any moment during the reference period: 3 years from the submissio</w:t>
      </w:r>
      <w:r>
        <w:rPr>
          <w:sz w:val="22"/>
          <w:szCs w:val="22"/>
          <w:lang w:val="en-GB"/>
        </w:rPr>
        <w:t>n deadline.</w:t>
      </w:r>
    </w:p>
    <w:p w14:paraId="0B66343C" w14:textId="77777777" w:rsidR="000D5AF9" w:rsidRPr="00B33EE6" w:rsidRDefault="000D5AF9" w:rsidP="000D5AF9">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460E4710"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2CC91884" w14:textId="481AF345" w:rsidR="006F5FD0" w:rsidRDefault="00502F09">
      <w:pPr>
        <w:pStyle w:val="Blockquote"/>
        <w:jc w:val="both"/>
        <w:rPr>
          <w:color w:val="000000" w:themeColor="text1"/>
          <w:sz w:val="22"/>
          <w:szCs w:val="22"/>
          <w:lang w:val="en-GB"/>
        </w:rPr>
      </w:pPr>
      <w:r>
        <w:rPr>
          <w:sz w:val="22"/>
          <w:szCs w:val="22"/>
          <w:lang w:val="mk-MK"/>
        </w:rPr>
        <w:t>The best</w:t>
      </w:r>
      <w:r w:rsidR="00397073" w:rsidRPr="00B33EE6">
        <w:rPr>
          <w:sz w:val="22"/>
          <w:szCs w:val="22"/>
          <w:lang w:val="en-GB"/>
        </w:rPr>
        <w:t xml:space="preserve"> </w:t>
      </w:r>
      <w:r w:rsidR="003D16FB" w:rsidRPr="00B33EE6">
        <w:rPr>
          <w:sz w:val="22"/>
          <w:szCs w:val="22"/>
          <w:lang w:val="en-GB"/>
        </w:rPr>
        <w:t>price-quality ratio</w:t>
      </w:r>
      <w:r w:rsidR="00DA4557">
        <w:rPr>
          <w:sz w:val="22"/>
          <w:szCs w:val="22"/>
          <w:lang w:val="en-GB"/>
        </w:rPr>
        <w:t xml:space="preserve"> is esta</w:t>
      </w:r>
      <w:r w:rsidR="00456D0A">
        <w:rPr>
          <w:sz w:val="22"/>
          <w:szCs w:val="22"/>
          <w:lang w:val="en-GB"/>
        </w:rPr>
        <w:t xml:space="preserve">blished by weighting technical </w:t>
      </w:r>
      <w:r w:rsidR="00DA4557">
        <w:rPr>
          <w:sz w:val="22"/>
          <w:szCs w:val="22"/>
          <w:lang w:val="en-GB"/>
        </w:rPr>
        <w:t xml:space="preserve">quality against </w:t>
      </w:r>
      <w:r>
        <w:rPr>
          <w:sz w:val="22"/>
          <w:szCs w:val="22"/>
          <w:lang w:val="mk-MK"/>
        </w:rPr>
        <w:t xml:space="preserve">the </w:t>
      </w:r>
      <w:r w:rsidR="00DA4557">
        <w:rPr>
          <w:sz w:val="22"/>
          <w:szCs w:val="22"/>
          <w:lang w:val="en-GB"/>
        </w:rPr>
        <w:t xml:space="preserve">price on </w:t>
      </w:r>
      <w:r w:rsidR="00DA4557" w:rsidRPr="00E236AF">
        <w:rPr>
          <w:b/>
          <w:bCs/>
          <w:color w:val="000000" w:themeColor="text1"/>
          <w:sz w:val="22"/>
          <w:szCs w:val="22"/>
          <w:lang w:val="en-GB"/>
        </w:rPr>
        <w:t>an 80/20 basis.</w:t>
      </w:r>
      <w:r w:rsidR="00DA4557" w:rsidRPr="00E236AF">
        <w:rPr>
          <w:color w:val="000000" w:themeColor="text1"/>
          <w:sz w:val="22"/>
          <w:szCs w:val="22"/>
          <w:lang w:val="en-GB"/>
        </w:rPr>
        <w:t xml:space="preserve"> </w:t>
      </w:r>
    </w:p>
    <w:p w14:paraId="6B483095" w14:textId="1F908ECB" w:rsidR="003E6CB9" w:rsidRPr="00BD0CAE" w:rsidRDefault="00AF0F9F" w:rsidP="002D1945">
      <w:pPr>
        <w:ind w:left="360"/>
        <w:rPr>
          <w:b/>
          <w:bCs/>
          <w:snapToGrid/>
          <w:sz w:val="22"/>
          <w:szCs w:val="22"/>
        </w:rPr>
      </w:pPr>
      <w:r w:rsidRPr="00AF0F9F">
        <w:rPr>
          <w:b/>
          <w:bCs/>
          <w:sz w:val="22"/>
          <w:szCs w:val="22"/>
          <w:lang w:val="mk-MK"/>
        </w:rPr>
        <w:t xml:space="preserve">Scoring method of obtaining offers for the purchase of </w:t>
      </w:r>
      <w:r w:rsidR="00BD0CAE">
        <w:rPr>
          <w:b/>
          <w:bCs/>
          <w:sz w:val="22"/>
          <w:szCs w:val="22"/>
        </w:rPr>
        <w:t>terrain vehicle</w:t>
      </w:r>
    </w:p>
    <w:tbl>
      <w:tblPr>
        <w:tblStyle w:val="TableGrid"/>
        <w:tblW w:w="0" w:type="auto"/>
        <w:tblLook w:val="04A0" w:firstRow="1" w:lastRow="0" w:firstColumn="1" w:lastColumn="0" w:noHBand="0" w:noVBand="1"/>
      </w:tblPr>
      <w:tblGrid>
        <w:gridCol w:w="2128"/>
        <w:gridCol w:w="1555"/>
        <w:gridCol w:w="5689"/>
      </w:tblGrid>
      <w:tr w:rsidR="00797A80" w:rsidRPr="00797A80" w14:paraId="266E8B19" w14:textId="77777777" w:rsidTr="0050120C">
        <w:tc>
          <w:tcPr>
            <w:tcW w:w="2128" w:type="dxa"/>
            <w:vAlign w:val="center"/>
          </w:tcPr>
          <w:p w14:paraId="17A72A43" w14:textId="6455E80A" w:rsidR="00797A80" w:rsidRPr="00797A80" w:rsidRDefault="008E3C2F" w:rsidP="00797A80">
            <w:pPr>
              <w:widowControl/>
              <w:spacing w:before="0" w:after="0"/>
              <w:rPr>
                <w:b/>
                <w:bCs/>
                <w:snapToGrid/>
                <w:sz w:val="22"/>
                <w:szCs w:val="22"/>
              </w:rPr>
            </w:pPr>
            <w:r>
              <w:rPr>
                <w:b/>
                <w:bCs/>
                <w:snapToGrid/>
                <w:sz w:val="22"/>
                <w:szCs w:val="22"/>
              </w:rPr>
              <w:t>Ratio</w:t>
            </w:r>
          </w:p>
        </w:tc>
        <w:tc>
          <w:tcPr>
            <w:tcW w:w="1555" w:type="dxa"/>
            <w:vAlign w:val="center"/>
          </w:tcPr>
          <w:p w14:paraId="030CFBA0" w14:textId="365B1EA4" w:rsidR="00797A80" w:rsidRPr="00797A80" w:rsidRDefault="00201F5C" w:rsidP="00797A80">
            <w:pPr>
              <w:widowControl/>
              <w:spacing w:before="0" w:after="0"/>
              <w:rPr>
                <w:b/>
                <w:bCs/>
                <w:snapToGrid/>
                <w:sz w:val="22"/>
                <w:szCs w:val="22"/>
              </w:rPr>
            </w:pPr>
            <w:r>
              <w:rPr>
                <w:rFonts w:eastAsia="Calibri"/>
                <w:b/>
                <w:bCs/>
                <w:snapToGrid/>
                <w:sz w:val="22"/>
                <w:szCs w:val="22"/>
              </w:rPr>
              <w:t>Points</w:t>
            </w:r>
          </w:p>
        </w:tc>
        <w:tc>
          <w:tcPr>
            <w:tcW w:w="5689" w:type="dxa"/>
            <w:vAlign w:val="center"/>
          </w:tcPr>
          <w:p w14:paraId="241DCDD8" w14:textId="4AF8DBED" w:rsidR="00797A80" w:rsidRPr="00797A80" w:rsidRDefault="00AF0F9F" w:rsidP="00797A80">
            <w:pPr>
              <w:widowControl/>
              <w:spacing w:before="0" w:after="0"/>
              <w:rPr>
                <w:b/>
                <w:bCs/>
                <w:snapToGrid/>
                <w:sz w:val="22"/>
                <w:szCs w:val="22"/>
              </w:rPr>
            </w:pPr>
            <w:r>
              <w:rPr>
                <w:rFonts w:eastAsia="Calibri"/>
                <w:b/>
                <w:bCs/>
                <w:snapToGrid/>
                <w:sz w:val="22"/>
                <w:szCs w:val="22"/>
              </w:rPr>
              <w:t>Soring methods</w:t>
            </w:r>
          </w:p>
        </w:tc>
      </w:tr>
      <w:tr w:rsidR="00797A80" w:rsidRPr="00797A80" w14:paraId="0386B900" w14:textId="77777777" w:rsidTr="0050120C">
        <w:tc>
          <w:tcPr>
            <w:tcW w:w="2128" w:type="dxa"/>
            <w:vAlign w:val="center"/>
          </w:tcPr>
          <w:p w14:paraId="79DB0E54" w14:textId="5069D790" w:rsidR="00797A80" w:rsidRPr="00797A80" w:rsidRDefault="00AF0F9F" w:rsidP="00797A80">
            <w:pPr>
              <w:widowControl/>
              <w:spacing w:before="0" w:after="0"/>
              <w:rPr>
                <w:snapToGrid/>
                <w:sz w:val="22"/>
                <w:szCs w:val="22"/>
              </w:rPr>
            </w:pPr>
            <w:r>
              <w:rPr>
                <w:snapToGrid/>
                <w:color w:val="000000"/>
                <w:sz w:val="22"/>
                <w:szCs w:val="22"/>
                <w:lang w:eastAsia="mk-MK"/>
              </w:rPr>
              <w:t>Price</w:t>
            </w:r>
            <w:r w:rsidR="00797A80" w:rsidRPr="00797A80">
              <w:rPr>
                <w:snapToGrid/>
                <w:color w:val="000000"/>
                <w:sz w:val="22"/>
                <w:szCs w:val="22"/>
                <w:lang w:val="mk-MK" w:eastAsia="mk-MK"/>
              </w:rPr>
              <w:t xml:space="preserve"> 80%</w:t>
            </w:r>
          </w:p>
        </w:tc>
        <w:tc>
          <w:tcPr>
            <w:tcW w:w="1555" w:type="dxa"/>
            <w:vAlign w:val="center"/>
          </w:tcPr>
          <w:p w14:paraId="63C19AF5" w14:textId="21B181E5" w:rsidR="00797A80" w:rsidRPr="00797A80" w:rsidRDefault="00201F5C" w:rsidP="00797A80">
            <w:pPr>
              <w:widowControl/>
              <w:spacing w:before="0" w:after="0"/>
              <w:rPr>
                <w:snapToGrid/>
                <w:sz w:val="22"/>
                <w:szCs w:val="22"/>
              </w:rPr>
            </w:pPr>
            <w:r w:rsidRPr="00201F5C">
              <w:rPr>
                <w:snapToGrid/>
                <w:color w:val="000000"/>
                <w:sz w:val="22"/>
                <w:szCs w:val="22"/>
                <w:lang w:val="mk-MK" w:eastAsia="mk-MK"/>
              </w:rPr>
              <w:t xml:space="preserve">Maximum </w:t>
            </w:r>
            <w:r w:rsidR="00393562">
              <w:rPr>
                <w:snapToGrid/>
                <w:color w:val="000000"/>
                <w:sz w:val="22"/>
                <w:szCs w:val="22"/>
                <w:lang w:eastAsia="mk-MK"/>
              </w:rPr>
              <w:t>100</w:t>
            </w:r>
            <w:r w:rsidRPr="00201F5C">
              <w:rPr>
                <w:snapToGrid/>
                <w:color w:val="000000"/>
                <w:sz w:val="22"/>
                <w:szCs w:val="22"/>
                <w:lang w:val="mk-MK" w:eastAsia="mk-MK"/>
              </w:rPr>
              <w:t xml:space="preserve"> points</w:t>
            </w:r>
          </w:p>
        </w:tc>
        <w:tc>
          <w:tcPr>
            <w:tcW w:w="5689" w:type="dxa"/>
            <w:vAlign w:val="center"/>
          </w:tcPr>
          <w:p w14:paraId="15629F52" w14:textId="38CE1808" w:rsidR="00797A80" w:rsidRPr="001E3682" w:rsidRDefault="001E3682" w:rsidP="00797A80">
            <w:pPr>
              <w:widowControl/>
              <w:spacing w:before="0" w:after="0"/>
              <w:rPr>
                <w:snapToGrid/>
                <w:sz w:val="22"/>
                <w:szCs w:val="22"/>
                <w:lang w:val="mk-MK"/>
              </w:rPr>
            </w:pPr>
            <w:r w:rsidRPr="001E3682">
              <w:rPr>
                <w:snapToGrid/>
                <w:color w:val="000000"/>
                <w:sz w:val="22"/>
                <w:szCs w:val="22"/>
                <w:lang w:eastAsia="mk-MK"/>
              </w:rPr>
              <w:t>The offer with the lowest price gets maximum points. The points for the other bidders are distributed proportionally from the lowest offered price.</w:t>
            </w:r>
          </w:p>
        </w:tc>
      </w:tr>
      <w:tr w:rsidR="00BE4248" w:rsidRPr="00797A80" w14:paraId="4041076C" w14:textId="77777777" w:rsidTr="0050120C">
        <w:tc>
          <w:tcPr>
            <w:tcW w:w="2128" w:type="dxa"/>
            <w:vMerge w:val="restart"/>
            <w:vAlign w:val="center"/>
          </w:tcPr>
          <w:p w14:paraId="6273EEEB" w14:textId="0CEE1757" w:rsidR="00BE4248" w:rsidRPr="00797A80" w:rsidRDefault="00BE4248" w:rsidP="00797A80">
            <w:pPr>
              <w:widowControl/>
              <w:spacing w:before="0" w:after="0"/>
              <w:rPr>
                <w:snapToGrid/>
                <w:sz w:val="22"/>
                <w:szCs w:val="22"/>
              </w:rPr>
            </w:pPr>
            <w:r>
              <w:rPr>
                <w:snapToGrid/>
                <w:color w:val="000000"/>
                <w:sz w:val="22"/>
                <w:szCs w:val="22"/>
                <w:lang w:eastAsia="mk-MK"/>
              </w:rPr>
              <w:t>Quality</w:t>
            </w:r>
            <w:r w:rsidRPr="00797A80">
              <w:rPr>
                <w:snapToGrid/>
                <w:color w:val="000000"/>
                <w:sz w:val="22"/>
                <w:szCs w:val="22"/>
                <w:lang w:val="mk-MK" w:eastAsia="mk-MK"/>
              </w:rPr>
              <w:t xml:space="preserve"> 20%</w:t>
            </w:r>
          </w:p>
        </w:tc>
        <w:tc>
          <w:tcPr>
            <w:tcW w:w="1555" w:type="dxa"/>
            <w:vMerge w:val="restart"/>
            <w:vAlign w:val="center"/>
          </w:tcPr>
          <w:p w14:paraId="14A196E0" w14:textId="6C830EEB" w:rsidR="00BE4248" w:rsidRPr="00E652D6" w:rsidRDefault="00BE4248" w:rsidP="00E652D6">
            <w:pPr>
              <w:widowControl/>
              <w:spacing w:before="0" w:after="0"/>
              <w:rPr>
                <w:snapToGrid/>
                <w:sz w:val="22"/>
                <w:szCs w:val="22"/>
              </w:rPr>
            </w:pPr>
            <w:r w:rsidRPr="009D3D51">
              <w:rPr>
                <w:snapToGrid/>
                <w:sz w:val="22"/>
                <w:szCs w:val="22"/>
                <w:lang w:val="mk-MK" w:eastAsia="mk-MK"/>
              </w:rPr>
              <w:t xml:space="preserve">Maximum </w:t>
            </w:r>
            <w:r>
              <w:rPr>
                <w:snapToGrid/>
                <w:sz w:val="22"/>
                <w:szCs w:val="22"/>
                <w:lang w:eastAsia="mk-MK"/>
              </w:rPr>
              <w:t>100 points</w:t>
            </w:r>
          </w:p>
        </w:tc>
        <w:tc>
          <w:tcPr>
            <w:tcW w:w="5689" w:type="dxa"/>
            <w:vAlign w:val="center"/>
          </w:tcPr>
          <w:p w14:paraId="1625B943" w14:textId="772D1846" w:rsidR="00BE4248" w:rsidRPr="00797A80" w:rsidRDefault="00BE4248" w:rsidP="00797A80">
            <w:pPr>
              <w:widowControl/>
              <w:spacing w:before="0" w:after="0"/>
              <w:rPr>
                <w:snapToGrid/>
                <w:sz w:val="22"/>
                <w:szCs w:val="22"/>
                <w:lang w:val="mk-MK" w:eastAsia="mk-MK"/>
              </w:rPr>
            </w:pPr>
            <w:r w:rsidRPr="001E3682">
              <w:rPr>
                <w:snapToGrid/>
                <w:sz w:val="22"/>
                <w:szCs w:val="22"/>
                <w:lang w:val="mk-MK" w:eastAsia="mk-MK"/>
              </w:rPr>
              <w:t xml:space="preserve">Offering better products than the defined technical specifications brings quality points. </w:t>
            </w:r>
          </w:p>
        </w:tc>
      </w:tr>
      <w:tr w:rsidR="00BE4248" w:rsidRPr="00797A80" w14:paraId="6E855042" w14:textId="77777777" w:rsidTr="000B2B87">
        <w:trPr>
          <w:trHeight w:val="757"/>
        </w:trPr>
        <w:tc>
          <w:tcPr>
            <w:tcW w:w="2128" w:type="dxa"/>
            <w:vMerge/>
            <w:vAlign w:val="center"/>
          </w:tcPr>
          <w:p w14:paraId="19C68A09" w14:textId="77777777" w:rsidR="00BE4248" w:rsidRPr="00797A80" w:rsidRDefault="00BE4248" w:rsidP="00797A80">
            <w:pPr>
              <w:widowControl/>
              <w:spacing w:before="0" w:after="0"/>
              <w:rPr>
                <w:snapToGrid/>
                <w:color w:val="000000"/>
                <w:sz w:val="22"/>
                <w:szCs w:val="22"/>
                <w:lang w:val="mk-MK" w:eastAsia="mk-MK"/>
              </w:rPr>
            </w:pPr>
          </w:p>
        </w:tc>
        <w:tc>
          <w:tcPr>
            <w:tcW w:w="1555" w:type="dxa"/>
            <w:vMerge/>
            <w:vAlign w:val="center"/>
          </w:tcPr>
          <w:p w14:paraId="70AA3FE7" w14:textId="5CA75BCD" w:rsidR="00BE4248" w:rsidRPr="00797A80" w:rsidRDefault="00BE4248" w:rsidP="00797A80">
            <w:pPr>
              <w:widowControl/>
              <w:spacing w:before="0" w:after="0"/>
              <w:rPr>
                <w:snapToGrid/>
                <w:sz w:val="22"/>
                <w:szCs w:val="22"/>
                <w:lang w:val="mk-MK" w:eastAsia="mk-MK"/>
              </w:rPr>
            </w:pPr>
          </w:p>
        </w:tc>
        <w:tc>
          <w:tcPr>
            <w:tcW w:w="5689" w:type="dxa"/>
            <w:vAlign w:val="center"/>
          </w:tcPr>
          <w:p w14:paraId="3A509A13" w14:textId="5F868883" w:rsidR="00BE4248" w:rsidRDefault="00BE4248" w:rsidP="00C439C8">
            <w:pPr>
              <w:widowControl/>
              <w:spacing w:before="0" w:after="0"/>
              <w:rPr>
                <w:snapToGrid/>
                <w:sz w:val="22"/>
                <w:szCs w:val="22"/>
                <w:lang w:eastAsia="mk-MK"/>
              </w:rPr>
            </w:pPr>
            <w:r>
              <w:rPr>
                <w:snapToGrid/>
                <w:sz w:val="22"/>
                <w:szCs w:val="22"/>
                <w:lang w:eastAsia="mk-MK"/>
              </w:rPr>
              <w:t>Delivery up to 10 days-20 points</w:t>
            </w:r>
          </w:p>
          <w:p w14:paraId="1AD03CD8" w14:textId="59FA10A9" w:rsidR="00BE4248" w:rsidRDefault="00BE4248" w:rsidP="00CD25CF">
            <w:pPr>
              <w:widowControl/>
              <w:spacing w:before="0" w:after="0"/>
              <w:rPr>
                <w:snapToGrid/>
                <w:sz w:val="22"/>
                <w:szCs w:val="22"/>
                <w:lang w:eastAsia="mk-MK"/>
              </w:rPr>
            </w:pPr>
            <w:r>
              <w:rPr>
                <w:snapToGrid/>
                <w:sz w:val="22"/>
                <w:szCs w:val="22"/>
                <w:lang w:eastAsia="mk-MK"/>
              </w:rPr>
              <w:t>Delivery up to 30 days-15 points</w:t>
            </w:r>
          </w:p>
          <w:p w14:paraId="0FDB6383" w14:textId="71374D97" w:rsidR="00BE4248" w:rsidRPr="009D75EC" w:rsidRDefault="00BE4248" w:rsidP="00C439C8">
            <w:pPr>
              <w:widowControl/>
              <w:spacing w:before="0" w:after="0"/>
              <w:rPr>
                <w:snapToGrid/>
                <w:sz w:val="22"/>
                <w:szCs w:val="22"/>
                <w:lang w:eastAsia="mk-MK"/>
              </w:rPr>
            </w:pPr>
            <w:r>
              <w:rPr>
                <w:snapToGrid/>
                <w:sz w:val="22"/>
                <w:szCs w:val="22"/>
                <w:lang w:eastAsia="mk-MK"/>
              </w:rPr>
              <w:t>Delivery up to 40 days-10points</w:t>
            </w:r>
          </w:p>
        </w:tc>
      </w:tr>
      <w:tr w:rsidR="00BE4248" w:rsidRPr="00797A80" w14:paraId="7F11C314" w14:textId="77777777" w:rsidTr="000B2B87">
        <w:trPr>
          <w:trHeight w:val="757"/>
        </w:trPr>
        <w:tc>
          <w:tcPr>
            <w:tcW w:w="2128" w:type="dxa"/>
            <w:vMerge/>
            <w:vAlign w:val="center"/>
          </w:tcPr>
          <w:p w14:paraId="2F83AE7A" w14:textId="77777777" w:rsidR="00BE4248" w:rsidRPr="00797A80" w:rsidRDefault="00BE4248" w:rsidP="00797A80">
            <w:pPr>
              <w:widowControl/>
              <w:spacing w:before="0" w:after="0"/>
              <w:rPr>
                <w:snapToGrid/>
                <w:color w:val="000000"/>
                <w:sz w:val="22"/>
                <w:szCs w:val="22"/>
                <w:lang w:val="mk-MK" w:eastAsia="mk-MK"/>
              </w:rPr>
            </w:pPr>
          </w:p>
        </w:tc>
        <w:tc>
          <w:tcPr>
            <w:tcW w:w="1555" w:type="dxa"/>
            <w:vMerge/>
            <w:vAlign w:val="center"/>
          </w:tcPr>
          <w:p w14:paraId="69C958D5" w14:textId="77777777" w:rsidR="00BE4248" w:rsidRPr="00797A80" w:rsidRDefault="00BE4248" w:rsidP="00797A80">
            <w:pPr>
              <w:widowControl/>
              <w:spacing w:before="0" w:after="0"/>
              <w:rPr>
                <w:snapToGrid/>
                <w:sz w:val="22"/>
                <w:szCs w:val="22"/>
                <w:lang w:val="mk-MK" w:eastAsia="mk-MK"/>
              </w:rPr>
            </w:pPr>
          </w:p>
        </w:tc>
        <w:tc>
          <w:tcPr>
            <w:tcW w:w="5689" w:type="dxa"/>
            <w:vAlign w:val="center"/>
          </w:tcPr>
          <w:p w14:paraId="04B48D11" w14:textId="77777777" w:rsidR="00BE4248" w:rsidRPr="0054091F" w:rsidRDefault="00BE4248" w:rsidP="0054091F">
            <w:pPr>
              <w:widowControl/>
              <w:spacing w:before="0" w:after="0"/>
              <w:rPr>
                <w:snapToGrid/>
                <w:sz w:val="22"/>
                <w:szCs w:val="22"/>
                <w:lang w:eastAsia="mk-MK"/>
              </w:rPr>
            </w:pPr>
            <w:r w:rsidRPr="0054091F">
              <w:rPr>
                <w:snapToGrid/>
                <w:sz w:val="22"/>
                <w:szCs w:val="22"/>
                <w:lang w:eastAsia="mk-MK"/>
              </w:rPr>
              <w:t>Clearance</w:t>
            </w:r>
          </w:p>
          <w:p w14:paraId="1D9487CA" w14:textId="77777777" w:rsidR="00BE4248" w:rsidRPr="0054091F" w:rsidRDefault="00BE4248" w:rsidP="0054091F">
            <w:pPr>
              <w:widowControl/>
              <w:spacing w:before="0" w:after="0"/>
              <w:rPr>
                <w:snapToGrid/>
                <w:sz w:val="22"/>
                <w:szCs w:val="22"/>
                <w:lang w:eastAsia="mk-MK"/>
              </w:rPr>
            </w:pPr>
            <w:r w:rsidRPr="0054091F">
              <w:rPr>
                <w:snapToGrid/>
                <w:sz w:val="22"/>
                <w:szCs w:val="22"/>
                <w:lang w:eastAsia="mk-MK"/>
              </w:rPr>
              <w:t>- 20 points for offering a vehicle with a ground clearance of over 190 mm</w:t>
            </w:r>
          </w:p>
          <w:p w14:paraId="662A1637" w14:textId="77777777" w:rsidR="00BE4248" w:rsidRPr="0054091F" w:rsidRDefault="00BE4248" w:rsidP="0054091F">
            <w:pPr>
              <w:widowControl/>
              <w:spacing w:before="0" w:after="0"/>
              <w:rPr>
                <w:snapToGrid/>
                <w:sz w:val="22"/>
                <w:szCs w:val="22"/>
                <w:lang w:eastAsia="mk-MK"/>
              </w:rPr>
            </w:pPr>
            <w:r w:rsidRPr="0054091F">
              <w:rPr>
                <w:snapToGrid/>
                <w:sz w:val="22"/>
                <w:szCs w:val="22"/>
                <w:lang w:eastAsia="mk-MK"/>
              </w:rPr>
              <w:t>- 15 points for offering a vehicle with a ground clearance of 185-190 mm</w:t>
            </w:r>
          </w:p>
          <w:p w14:paraId="6C61CD66" w14:textId="77A320E8" w:rsidR="00BE4248" w:rsidRDefault="00BE4248" w:rsidP="0054091F">
            <w:pPr>
              <w:widowControl/>
              <w:spacing w:before="0" w:after="0"/>
              <w:rPr>
                <w:snapToGrid/>
                <w:sz w:val="22"/>
                <w:szCs w:val="22"/>
                <w:lang w:eastAsia="mk-MK"/>
              </w:rPr>
            </w:pPr>
            <w:r w:rsidRPr="0054091F">
              <w:rPr>
                <w:snapToGrid/>
                <w:sz w:val="22"/>
                <w:szCs w:val="22"/>
                <w:lang w:eastAsia="mk-MK"/>
              </w:rPr>
              <w:lastRenderedPageBreak/>
              <w:t>- 10 points for offering a vehicle with a ground clearance of 180-185 mm</w:t>
            </w:r>
          </w:p>
        </w:tc>
      </w:tr>
      <w:tr w:rsidR="00BE4248" w:rsidRPr="00797A80" w14:paraId="0DCD055A" w14:textId="77777777" w:rsidTr="000B2B87">
        <w:trPr>
          <w:trHeight w:val="757"/>
        </w:trPr>
        <w:tc>
          <w:tcPr>
            <w:tcW w:w="2128" w:type="dxa"/>
            <w:vMerge/>
            <w:vAlign w:val="center"/>
          </w:tcPr>
          <w:p w14:paraId="04A1598C" w14:textId="77777777" w:rsidR="00BE4248" w:rsidRPr="00797A80" w:rsidRDefault="00BE4248" w:rsidP="00797A80">
            <w:pPr>
              <w:widowControl/>
              <w:spacing w:before="0" w:after="0"/>
              <w:rPr>
                <w:snapToGrid/>
                <w:color w:val="000000"/>
                <w:sz w:val="22"/>
                <w:szCs w:val="22"/>
                <w:lang w:val="mk-MK" w:eastAsia="mk-MK"/>
              </w:rPr>
            </w:pPr>
          </w:p>
        </w:tc>
        <w:tc>
          <w:tcPr>
            <w:tcW w:w="1555" w:type="dxa"/>
            <w:vMerge/>
            <w:vAlign w:val="center"/>
          </w:tcPr>
          <w:p w14:paraId="3CF4FC84" w14:textId="77777777" w:rsidR="00BE4248" w:rsidRPr="00797A80" w:rsidRDefault="00BE4248" w:rsidP="00797A80">
            <w:pPr>
              <w:widowControl/>
              <w:spacing w:before="0" w:after="0"/>
              <w:rPr>
                <w:snapToGrid/>
                <w:sz w:val="22"/>
                <w:szCs w:val="22"/>
                <w:lang w:val="mk-MK" w:eastAsia="mk-MK"/>
              </w:rPr>
            </w:pPr>
          </w:p>
        </w:tc>
        <w:tc>
          <w:tcPr>
            <w:tcW w:w="5689" w:type="dxa"/>
            <w:vAlign w:val="center"/>
          </w:tcPr>
          <w:p w14:paraId="08BCD128" w14:textId="77777777" w:rsidR="00BE4248" w:rsidRPr="00AE04A0" w:rsidRDefault="00BE4248" w:rsidP="00AE04A0">
            <w:pPr>
              <w:widowControl/>
              <w:spacing w:before="0" w:after="0"/>
              <w:rPr>
                <w:snapToGrid/>
                <w:sz w:val="22"/>
                <w:szCs w:val="22"/>
                <w:lang w:eastAsia="mk-MK"/>
              </w:rPr>
            </w:pPr>
            <w:r w:rsidRPr="00AE04A0">
              <w:rPr>
                <w:snapToGrid/>
                <w:sz w:val="22"/>
                <w:szCs w:val="22"/>
                <w:lang w:eastAsia="mk-MK"/>
              </w:rPr>
              <w:t>Trunk volume</w:t>
            </w:r>
          </w:p>
          <w:p w14:paraId="4EB0A1DB" w14:textId="77777777" w:rsidR="00BE4248" w:rsidRPr="00AE04A0" w:rsidRDefault="00BE4248" w:rsidP="00AE04A0">
            <w:pPr>
              <w:widowControl/>
              <w:spacing w:before="0" w:after="0"/>
              <w:rPr>
                <w:snapToGrid/>
                <w:sz w:val="22"/>
                <w:szCs w:val="22"/>
                <w:lang w:eastAsia="mk-MK"/>
              </w:rPr>
            </w:pPr>
            <w:r w:rsidRPr="00AE04A0">
              <w:rPr>
                <w:snapToGrid/>
                <w:sz w:val="22"/>
                <w:szCs w:val="22"/>
                <w:lang w:eastAsia="mk-MK"/>
              </w:rPr>
              <w:t>- 20 points for offering a vehicle with a trunk volume of over 550 l</w:t>
            </w:r>
          </w:p>
          <w:p w14:paraId="693E1C7B" w14:textId="77777777" w:rsidR="00BE4248" w:rsidRPr="00AE04A0" w:rsidRDefault="00BE4248" w:rsidP="00AE04A0">
            <w:pPr>
              <w:widowControl/>
              <w:spacing w:before="0" w:after="0"/>
              <w:rPr>
                <w:snapToGrid/>
                <w:sz w:val="22"/>
                <w:szCs w:val="22"/>
                <w:lang w:eastAsia="mk-MK"/>
              </w:rPr>
            </w:pPr>
            <w:r w:rsidRPr="00AE04A0">
              <w:rPr>
                <w:snapToGrid/>
                <w:sz w:val="22"/>
                <w:szCs w:val="22"/>
                <w:lang w:eastAsia="mk-MK"/>
              </w:rPr>
              <w:t>- 15 points for offering a vehicle with a trunk volume of 500-550 l</w:t>
            </w:r>
          </w:p>
          <w:p w14:paraId="1D8837AF" w14:textId="0ED7974B" w:rsidR="00BE4248" w:rsidRPr="0054091F" w:rsidRDefault="00BE4248" w:rsidP="00AE04A0">
            <w:pPr>
              <w:widowControl/>
              <w:spacing w:before="0" w:after="0"/>
              <w:rPr>
                <w:snapToGrid/>
                <w:sz w:val="22"/>
                <w:szCs w:val="22"/>
                <w:lang w:eastAsia="mk-MK"/>
              </w:rPr>
            </w:pPr>
            <w:r w:rsidRPr="00AE04A0">
              <w:rPr>
                <w:snapToGrid/>
                <w:sz w:val="22"/>
                <w:szCs w:val="22"/>
                <w:lang w:eastAsia="mk-MK"/>
              </w:rPr>
              <w:t>- 10 points for offering a vehicle with a trunk volume of 450-500 l</w:t>
            </w:r>
          </w:p>
        </w:tc>
      </w:tr>
      <w:tr w:rsidR="00BE4248" w:rsidRPr="00797A80" w14:paraId="783EC03A" w14:textId="77777777" w:rsidTr="000B2B87">
        <w:trPr>
          <w:trHeight w:val="757"/>
        </w:trPr>
        <w:tc>
          <w:tcPr>
            <w:tcW w:w="2128" w:type="dxa"/>
            <w:vMerge/>
            <w:vAlign w:val="center"/>
          </w:tcPr>
          <w:p w14:paraId="436307BA" w14:textId="77777777" w:rsidR="00BE4248" w:rsidRPr="00797A80" w:rsidRDefault="00BE4248" w:rsidP="00797A80">
            <w:pPr>
              <w:widowControl/>
              <w:spacing w:before="0" w:after="0"/>
              <w:rPr>
                <w:snapToGrid/>
                <w:color w:val="000000"/>
                <w:sz w:val="22"/>
                <w:szCs w:val="22"/>
                <w:lang w:val="mk-MK" w:eastAsia="mk-MK"/>
              </w:rPr>
            </w:pPr>
          </w:p>
        </w:tc>
        <w:tc>
          <w:tcPr>
            <w:tcW w:w="1555" w:type="dxa"/>
            <w:vMerge/>
            <w:vAlign w:val="center"/>
          </w:tcPr>
          <w:p w14:paraId="492C32A7" w14:textId="77777777" w:rsidR="00BE4248" w:rsidRPr="00797A80" w:rsidRDefault="00BE4248" w:rsidP="00797A80">
            <w:pPr>
              <w:widowControl/>
              <w:spacing w:before="0" w:after="0"/>
              <w:rPr>
                <w:snapToGrid/>
                <w:sz w:val="22"/>
                <w:szCs w:val="22"/>
                <w:lang w:val="mk-MK" w:eastAsia="mk-MK"/>
              </w:rPr>
            </w:pPr>
          </w:p>
        </w:tc>
        <w:tc>
          <w:tcPr>
            <w:tcW w:w="5689" w:type="dxa"/>
            <w:vAlign w:val="center"/>
          </w:tcPr>
          <w:p w14:paraId="586BE348" w14:textId="77777777" w:rsidR="00BE4248" w:rsidRPr="00E54619" w:rsidRDefault="00BE4248" w:rsidP="00E54619">
            <w:pPr>
              <w:widowControl/>
              <w:spacing w:before="0" w:after="0"/>
              <w:rPr>
                <w:snapToGrid/>
                <w:sz w:val="22"/>
                <w:szCs w:val="22"/>
                <w:lang w:eastAsia="mk-MK"/>
              </w:rPr>
            </w:pPr>
            <w:r w:rsidRPr="00E54619">
              <w:rPr>
                <w:snapToGrid/>
                <w:sz w:val="22"/>
                <w:szCs w:val="22"/>
                <w:lang w:eastAsia="mk-MK"/>
              </w:rPr>
              <w:t>Fuel consumption:</w:t>
            </w:r>
          </w:p>
          <w:p w14:paraId="3DFB2902" w14:textId="77777777" w:rsidR="00BE4248" w:rsidRPr="00E54619" w:rsidRDefault="00BE4248" w:rsidP="00E54619">
            <w:pPr>
              <w:widowControl/>
              <w:spacing w:before="0" w:after="0"/>
              <w:rPr>
                <w:snapToGrid/>
                <w:sz w:val="22"/>
                <w:szCs w:val="22"/>
                <w:lang w:eastAsia="mk-MK"/>
              </w:rPr>
            </w:pPr>
            <w:r w:rsidRPr="00E54619">
              <w:rPr>
                <w:snapToGrid/>
                <w:sz w:val="22"/>
                <w:szCs w:val="22"/>
                <w:lang w:eastAsia="mk-MK"/>
              </w:rPr>
              <w:t>- 20 points for offering a vehicle with a consumption of up to 8 l per 100 km</w:t>
            </w:r>
          </w:p>
          <w:p w14:paraId="6761021F" w14:textId="77777777" w:rsidR="00BE4248" w:rsidRPr="00E54619" w:rsidRDefault="00BE4248" w:rsidP="00E54619">
            <w:pPr>
              <w:widowControl/>
              <w:spacing w:before="0" w:after="0"/>
              <w:rPr>
                <w:snapToGrid/>
                <w:sz w:val="22"/>
                <w:szCs w:val="22"/>
                <w:lang w:eastAsia="mk-MK"/>
              </w:rPr>
            </w:pPr>
            <w:r w:rsidRPr="00E54619">
              <w:rPr>
                <w:snapToGrid/>
                <w:sz w:val="22"/>
                <w:szCs w:val="22"/>
                <w:lang w:eastAsia="mk-MK"/>
              </w:rPr>
              <w:t>- 15 points for offering a vehicle with a consumption of 8 to 8.5 l per 100 km</w:t>
            </w:r>
          </w:p>
          <w:p w14:paraId="3FA00078" w14:textId="0F9B5BA5" w:rsidR="00BE4248" w:rsidRPr="00AE04A0" w:rsidRDefault="00BE4248" w:rsidP="00E54619">
            <w:pPr>
              <w:widowControl/>
              <w:spacing w:before="0" w:after="0"/>
              <w:rPr>
                <w:snapToGrid/>
                <w:sz w:val="22"/>
                <w:szCs w:val="22"/>
                <w:lang w:eastAsia="mk-MK"/>
              </w:rPr>
            </w:pPr>
            <w:r w:rsidRPr="00E54619">
              <w:rPr>
                <w:snapToGrid/>
                <w:sz w:val="22"/>
                <w:szCs w:val="22"/>
                <w:lang w:eastAsia="mk-MK"/>
              </w:rPr>
              <w:t>- 10 points for offering a vehicle with a consumption of 8.5 to 9 l per 100 km</w:t>
            </w:r>
          </w:p>
        </w:tc>
      </w:tr>
      <w:tr w:rsidR="00BE4248" w:rsidRPr="00797A80" w14:paraId="42F1A550" w14:textId="77777777" w:rsidTr="000B2B87">
        <w:trPr>
          <w:trHeight w:val="757"/>
        </w:trPr>
        <w:tc>
          <w:tcPr>
            <w:tcW w:w="2128" w:type="dxa"/>
            <w:vMerge/>
            <w:vAlign w:val="center"/>
          </w:tcPr>
          <w:p w14:paraId="2F68AC55" w14:textId="77777777" w:rsidR="00BE4248" w:rsidRPr="00797A80" w:rsidRDefault="00BE4248" w:rsidP="00797A80">
            <w:pPr>
              <w:widowControl/>
              <w:spacing w:before="0" w:after="0"/>
              <w:rPr>
                <w:snapToGrid/>
                <w:color w:val="000000"/>
                <w:sz w:val="22"/>
                <w:szCs w:val="22"/>
                <w:lang w:val="mk-MK" w:eastAsia="mk-MK"/>
              </w:rPr>
            </w:pPr>
          </w:p>
        </w:tc>
        <w:tc>
          <w:tcPr>
            <w:tcW w:w="1555" w:type="dxa"/>
            <w:vMerge/>
            <w:vAlign w:val="center"/>
          </w:tcPr>
          <w:p w14:paraId="5DA8115E" w14:textId="77777777" w:rsidR="00BE4248" w:rsidRPr="00797A80" w:rsidRDefault="00BE4248" w:rsidP="00797A80">
            <w:pPr>
              <w:widowControl/>
              <w:spacing w:before="0" w:after="0"/>
              <w:rPr>
                <w:snapToGrid/>
                <w:sz w:val="22"/>
                <w:szCs w:val="22"/>
                <w:lang w:val="mk-MK" w:eastAsia="mk-MK"/>
              </w:rPr>
            </w:pPr>
          </w:p>
        </w:tc>
        <w:tc>
          <w:tcPr>
            <w:tcW w:w="5689" w:type="dxa"/>
            <w:vAlign w:val="center"/>
          </w:tcPr>
          <w:p w14:paraId="3566F506" w14:textId="77777777" w:rsidR="00BE4248" w:rsidRPr="008C5524" w:rsidRDefault="00BE4248" w:rsidP="008C5524">
            <w:pPr>
              <w:widowControl/>
              <w:spacing w:before="0" w:after="0"/>
              <w:rPr>
                <w:snapToGrid/>
                <w:sz w:val="22"/>
                <w:szCs w:val="22"/>
                <w:lang w:val="mk-MK" w:eastAsia="mk-MK"/>
              </w:rPr>
            </w:pPr>
            <w:r w:rsidRPr="008C5524">
              <w:rPr>
                <w:snapToGrid/>
                <w:sz w:val="22"/>
                <w:szCs w:val="22"/>
                <w:lang w:val="mk-MK" w:eastAsia="mk-MK"/>
              </w:rPr>
              <w:t>Additional equipment</w:t>
            </w:r>
          </w:p>
          <w:p w14:paraId="13AF30D9" w14:textId="49D2BFE5" w:rsidR="00BE4248" w:rsidRPr="008C5524" w:rsidRDefault="00BE4248" w:rsidP="008C5524">
            <w:pPr>
              <w:widowControl/>
              <w:spacing w:before="0" w:after="0"/>
              <w:rPr>
                <w:snapToGrid/>
                <w:sz w:val="22"/>
                <w:szCs w:val="22"/>
                <w:lang w:val="mk-MK" w:eastAsia="mk-MK"/>
              </w:rPr>
            </w:pPr>
            <w:r w:rsidRPr="008C5524">
              <w:rPr>
                <w:snapToGrid/>
                <w:sz w:val="22"/>
                <w:szCs w:val="22"/>
                <w:lang w:val="mk-MK" w:eastAsia="mk-MK"/>
              </w:rPr>
              <w:t>- 5 points for each additional equipment installed in the requested vehicle that provides greater safety and comfort (maximum 20 points)</w:t>
            </w:r>
          </w:p>
        </w:tc>
      </w:tr>
    </w:tbl>
    <w:p w14:paraId="17C15C3E" w14:textId="2CE7098E" w:rsidR="003E6CB9" w:rsidRPr="000C3F78" w:rsidRDefault="000C3F78">
      <w:pPr>
        <w:pStyle w:val="Blockquote"/>
        <w:jc w:val="both"/>
        <w:rPr>
          <w:sz w:val="22"/>
          <w:szCs w:val="22"/>
        </w:rPr>
      </w:pPr>
      <w:r>
        <w:rPr>
          <w:sz w:val="22"/>
          <w:szCs w:val="22"/>
          <w:lang w:val="mk-MK"/>
        </w:rPr>
        <w:t>ТОТАЛ</w:t>
      </w:r>
      <w:r w:rsidRPr="000C3F78">
        <w:rPr>
          <w:sz w:val="22"/>
          <w:szCs w:val="22"/>
          <w:lang w:val="en-GB"/>
        </w:rPr>
        <w:t xml:space="preserve"> (quality x 0.2 + price x 0.80)</w:t>
      </w:r>
      <w:r>
        <w:rPr>
          <w:sz w:val="22"/>
          <w:szCs w:val="22"/>
          <w:lang w:val="mk-MK"/>
        </w:rPr>
        <w:t xml:space="preserve"> (</w:t>
      </w:r>
      <w:r>
        <w:rPr>
          <w:sz w:val="22"/>
          <w:szCs w:val="22"/>
        </w:rPr>
        <w:t>max. 100 points)</w:t>
      </w:r>
    </w:p>
    <w:p w14:paraId="39BE426A" w14:textId="73F13BE4" w:rsidR="006F5FD0" w:rsidRPr="00B33EE6" w:rsidRDefault="00D23B54">
      <w:pPr>
        <w:rPr>
          <w:sz w:val="22"/>
          <w:szCs w:val="22"/>
          <w:lang w:val="en-GB"/>
        </w:rPr>
      </w:pPr>
      <w:r>
        <w:rPr>
          <w:noProof/>
          <w:snapToGrid/>
          <w:sz w:val="22"/>
          <w:szCs w:val="22"/>
        </w:rPr>
        <mc:AlternateContent>
          <mc:Choice Requires="wps">
            <w:drawing>
              <wp:anchor distT="0" distB="0" distL="114300" distR="114300" simplePos="0" relativeHeight="251659776" behindDoc="0" locked="0" layoutInCell="0" allowOverlap="1" wp14:anchorId="7B04E4B5" wp14:editId="62E485E3">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4C09151">
              <v:line id="Line 7"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0,12pt" to="468pt,12.05pt" w14:anchorId="5007A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v:shadow on="t" offset="0,-1pt"/>
              </v:line>
            </w:pict>
          </mc:Fallback>
        </mc:AlternateContent>
      </w:r>
    </w:p>
    <w:p w14:paraId="5306BAC4" w14:textId="77777777" w:rsidR="006F5FD0" w:rsidRPr="00B33EE6" w:rsidRDefault="00994EA3">
      <w:pPr>
        <w:keepNext/>
        <w:jc w:val="center"/>
        <w:rPr>
          <w:sz w:val="28"/>
          <w:szCs w:val="28"/>
          <w:lang w:val="en-GB"/>
        </w:rPr>
      </w:pPr>
      <w:r w:rsidRPr="00B33EE6">
        <w:rPr>
          <w:rStyle w:val="Strong"/>
          <w:sz w:val="28"/>
          <w:szCs w:val="28"/>
          <w:lang w:val="en-GB"/>
        </w:rPr>
        <w:t>TENDERING</w:t>
      </w:r>
    </w:p>
    <w:p w14:paraId="4437DE60"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65FB40C8" w14:textId="5FA449EA" w:rsidR="000D5AF9" w:rsidRPr="00B33EE6" w:rsidRDefault="000D5AF9" w:rsidP="000D5AF9">
      <w:pPr>
        <w:pStyle w:val="Blockquote"/>
        <w:jc w:val="both"/>
        <w:rPr>
          <w:i/>
          <w:sz w:val="22"/>
          <w:szCs w:val="22"/>
          <w:lang w:val="en-GB"/>
        </w:rPr>
      </w:pPr>
      <w:r w:rsidRPr="00B33EE6">
        <w:rPr>
          <w:rStyle w:val="Emphasis"/>
          <w:i w:val="0"/>
          <w:sz w:val="22"/>
          <w:szCs w:val="22"/>
          <w:lang w:val="en-GB"/>
        </w:rPr>
        <w:t xml:space="preserve">The deadline for </w:t>
      </w:r>
      <w:r>
        <w:rPr>
          <w:rStyle w:val="Emphasis"/>
          <w:i w:val="0"/>
          <w:sz w:val="22"/>
          <w:szCs w:val="22"/>
          <w:lang w:val="en-GB"/>
        </w:rPr>
        <w:t xml:space="preserve">submission </w:t>
      </w:r>
      <w:r w:rsidRPr="00B33EE6">
        <w:rPr>
          <w:rStyle w:val="Emphasis"/>
          <w:i w:val="0"/>
          <w:sz w:val="22"/>
          <w:szCs w:val="22"/>
          <w:lang w:val="en-GB"/>
        </w:rPr>
        <w:t xml:space="preserve">of tenders is </w:t>
      </w:r>
      <w:r w:rsidR="00015065">
        <w:rPr>
          <w:rStyle w:val="Emphasis"/>
          <w:i w:val="0"/>
          <w:sz w:val="22"/>
          <w:szCs w:val="22"/>
        </w:rPr>
        <w:t>1</w:t>
      </w:r>
      <w:r>
        <w:rPr>
          <w:rStyle w:val="Emphasis"/>
          <w:i w:val="0"/>
          <w:sz w:val="22"/>
          <w:szCs w:val="22"/>
        </w:rPr>
        <w:t>9</w:t>
      </w:r>
      <w:r>
        <w:rPr>
          <w:rStyle w:val="Emphasis"/>
          <w:i w:val="0"/>
          <w:sz w:val="22"/>
          <w:szCs w:val="22"/>
          <w:lang w:val="en-GB"/>
        </w:rPr>
        <w:t>.05.2022 at 14:00 local time.</w:t>
      </w:r>
    </w:p>
    <w:p w14:paraId="6DB5CF4D"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72DE9F20"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w:t>
      </w:r>
      <w:proofErr w:type="gramStart"/>
      <w:r w:rsidR="009B06B5" w:rsidRPr="00B33EE6">
        <w:rPr>
          <w:sz w:val="22"/>
          <w:szCs w:val="22"/>
          <w:lang w:val="en-GB"/>
        </w:rPr>
        <w:t>format</w:t>
      </w:r>
      <w:proofErr w:type="gramEnd"/>
      <w:r w:rsidR="009B06B5" w:rsidRPr="00B33EE6">
        <w:rPr>
          <w:sz w:val="22"/>
          <w:szCs w:val="22"/>
          <w:lang w:val="en-GB"/>
        </w:rPr>
        <w:t xml:space="preserve">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618B8D07"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41AE2FDE" w14:textId="77777777" w:rsidR="004D5EDB" w:rsidRPr="00B33EE6" w:rsidRDefault="00BE4248"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526F27D2"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0D578AC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7273551F" w14:textId="30ACB85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w:t>
      </w:r>
      <w:r w:rsidRPr="00B33EE6">
        <w:rPr>
          <w:sz w:val="22"/>
          <w:szCs w:val="22"/>
          <w:lang w:val="en-GB"/>
        </w:rPr>
        <w:lastRenderedPageBreak/>
        <w:t xml:space="preserve">specified in point </w:t>
      </w:r>
      <w:r w:rsidR="0078189A">
        <w:rPr>
          <w:sz w:val="22"/>
          <w:szCs w:val="22"/>
          <w:lang w:val="en-GB"/>
        </w:rPr>
        <w:t>10</w:t>
      </w:r>
      <w:r w:rsidRPr="00B33EE6">
        <w:rPr>
          <w:sz w:val="22"/>
          <w:szCs w:val="22"/>
          <w:lang w:val="en-GB"/>
        </w:rPr>
        <w:t xml:space="preserve">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4D9570E2"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79187A38"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electronic means.</w:t>
      </w:r>
    </w:p>
    <w:p w14:paraId="3B15BAAB"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4BA70391"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6140BC86" w14:textId="0E43185A"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3C7D2E">
        <w:rPr>
          <w:sz w:val="22"/>
          <w:szCs w:val="22"/>
          <w:lang w:val="en-GB"/>
        </w:rPr>
        <w:t>15</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0B8D3B46"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442790B2"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3CE6D335"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5FB2A548" w14:textId="1DAD9C5B" w:rsidR="002A2581" w:rsidRDefault="002A2581" w:rsidP="00E147D3">
      <w:pPr>
        <w:pStyle w:val="Blockquote"/>
        <w:ind w:left="426" w:right="310"/>
        <w:jc w:val="both"/>
        <w:rPr>
          <w:sz w:val="22"/>
          <w:szCs w:val="22"/>
          <w:lang w:val="en-GB"/>
        </w:rPr>
      </w:pPr>
      <w:r>
        <w:rPr>
          <w:sz w:val="22"/>
          <w:szCs w:val="22"/>
          <w:lang w:val="en-GB"/>
        </w:rPr>
        <w:t>The Practical Guide to Contract Procedures for EU External Actions (PRAG) together with the standard documents and templates in the annexes to it.</w:t>
      </w:r>
    </w:p>
    <w:p w14:paraId="15FFBFDF" w14:textId="77777777" w:rsidR="00985AC4" w:rsidRPr="006D5A00" w:rsidRDefault="00985AC4" w:rsidP="00985AC4">
      <w:pPr>
        <w:pStyle w:val="PRAGHeading2"/>
        <w:numPr>
          <w:ilvl w:val="0"/>
          <w:numId w:val="0"/>
        </w:numPr>
        <w:tabs>
          <w:tab w:val="left" w:pos="720"/>
        </w:tabs>
        <w:ind w:left="720"/>
        <w:jc w:val="both"/>
        <w:rPr>
          <w:sz w:val="22"/>
          <w:szCs w:val="24"/>
          <w:lang w:val="en-GB"/>
        </w:rPr>
      </w:pPr>
      <w:r w:rsidRPr="006D5A00">
        <w:rPr>
          <w:sz w:val="22"/>
          <w:szCs w:val="24"/>
          <w:lang w:val="en-GB"/>
        </w:rPr>
        <w:t xml:space="preserve">The following legal framework applies to contracts for services, supplies and works financed by the EU budget, concluded </w:t>
      </w:r>
      <w:proofErr w:type="gramStart"/>
      <w:r w:rsidRPr="006D5A00">
        <w:rPr>
          <w:sz w:val="22"/>
          <w:szCs w:val="24"/>
          <w:lang w:val="en-GB"/>
        </w:rPr>
        <w:t>in the course of</w:t>
      </w:r>
      <w:proofErr w:type="gramEnd"/>
      <w:r w:rsidRPr="006D5A00">
        <w:rPr>
          <w:sz w:val="22"/>
          <w:szCs w:val="24"/>
          <w:lang w:val="en-GB"/>
        </w:rPr>
        <w:t xml:space="preserve"> the European Union cooperation with third countries and awarded by a contracting authority of the partner country, or by the European Commission for and on behalf of the beneficiary:</w:t>
      </w:r>
    </w:p>
    <w:p w14:paraId="0F707919" w14:textId="77777777" w:rsidR="00985AC4" w:rsidRPr="006D5A00" w:rsidRDefault="00985AC4" w:rsidP="00985AC4">
      <w:pPr>
        <w:numPr>
          <w:ilvl w:val="0"/>
          <w:numId w:val="46"/>
        </w:numPr>
        <w:snapToGrid w:val="0"/>
        <w:spacing w:before="0" w:after="0"/>
        <w:jc w:val="both"/>
        <w:outlineLvl w:val="0"/>
        <w:rPr>
          <w:bCs/>
          <w:sz w:val="22"/>
          <w:szCs w:val="24"/>
          <w:lang w:val="en-GB"/>
        </w:rPr>
      </w:pPr>
      <w:r w:rsidRPr="006D5A00">
        <w:rPr>
          <w:bCs/>
          <w:sz w:val="22"/>
          <w:szCs w:val="24"/>
          <w:lang w:val="en-GB"/>
        </w:rPr>
        <w:t>Council Regulation (EC) No 1085/2006 of 17 July 2006 establishing an Instrument for Pre-Accession Assistance (IPA</w:t>
      </w:r>
      <w:proofErr w:type="gramStart"/>
      <w:r w:rsidRPr="006D5A00">
        <w:rPr>
          <w:bCs/>
          <w:sz w:val="22"/>
          <w:szCs w:val="24"/>
          <w:lang w:val="en-GB"/>
        </w:rPr>
        <w:t>);</w:t>
      </w:r>
      <w:proofErr w:type="gramEnd"/>
    </w:p>
    <w:p w14:paraId="68E27890" w14:textId="77777777" w:rsidR="00985AC4" w:rsidRPr="006D5A00" w:rsidRDefault="00985AC4" w:rsidP="00985AC4">
      <w:pPr>
        <w:numPr>
          <w:ilvl w:val="0"/>
          <w:numId w:val="46"/>
        </w:numPr>
        <w:snapToGrid w:val="0"/>
        <w:spacing w:before="0" w:after="0"/>
        <w:jc w:val="both"/>
        <w:outlineLvl w:val="0"/>
        <w:rPr>
          <w:bCs/>
          <w:sz w:val="22"/>
          <w:szCs w:val="24"/>
          <w:lang w:val="en-GB"/>
        </w:rPr>
      </w:pPr>
      <w:r w:rsidRPr="006D5A00">
        <w:rPr>
          <w:bCs/>
          <w:sz w:val="22"/>
          <w:szCs w:val="24"/>
          <w:lang w:val="en-GB"/>
        </w:rPr>
        <w:t>Commission Regulation (EC) No. 718/2007 of 12 June 2007, implementing Council Regulation (EC) No. 1085/2006 establishing an instrument for pre-accession assistance (IPA</w:t>
      </w:r>
      <w:proofErr w:type="gramStart"/>
      <w:r w:rsidRPr="006D5A00">
        <w:rPr>
          <w:bCs/>
          <w:sz w:val="22"/>
          <w:szCs w:val="24"/>
          <w:lang w:val="en-GB"/>
        </w:rPr>
        <w:t>);</w:t>
      </w:r>
      <w:proofErr w:type="gramEnd"/>
    </w:p>
    <w:p w14:paraId="53382D43" w14:textId="77777777" w:rsidR="00985AC4" w:rsidRPr="006D5A00" w:rsidRDefault="00985AC4" w:rsidP="00985AC4">
      <w:pPr>
        <w:numPr>
          <w:ilvl w:val="0"/>
          <w:numId w:val="46"/>
        </w:numPr>
        <w:snapToGrid w:val="0"/>
        <w:spacing w:before="0" w:after="0"/>
        <w:jc w:val="both"/>
        <w:outlineLvl w:val="0"/>
        <w:rPr>
          <w:bCs/>
          <w:sz w:val="22"/>
          <w:szCs w:val="24"/>
          <w:lang w:val="en-GB"/>
        </w:rPr>
      </w:pPr>
      <w:r w:rsidRPr="006D5A00">
        <w:rPr>
          <w:bCs/>
          <w:sz w:val="22"/>
          <w:szCs w:val="24"/>
          <w:lang w:val="en-GB"/>
        </w:rPr>
        <w:t xml:space="preserve">Regulation of European Parliament and Council (EU) No 540/2010 of 16 June 2010, amending Council Regulation (EC) No 1085/2006 of 17 July 2006 establishing an Instrument for Pre-accession </w:t>
      </w:r>
      <w:proofErr w:type="gramStart"/>
      <w:r w:rsidRPr="006D5A00">
        <w:rPr>
          <w:bCs/>
          <w:sz w:val="22"/>
          <w:szCs w:val="24"/>
          <w:lang w:val="en-GB"/>
        </w:rPr>
        <w:t>Assistance;</w:t>
      </w:r>
      <w:proofErr w:type="gramEnd"/>
    </w:p>
    <w:p w14:paraId="2D2D5455" w14:textId="77777777" w:rsidR="00985AC4" w:rsidRPr="006D5A00" w:rsidRDefault="00985AC4" w:rsidP="00985AC4">
      <w:pPr>
        <w:numPr>
          <w:ilvl w:val="0"/>
          <w:numId w:val="46"/>
        </w:numPr>
        <w:snapToGrid w:val="0"/>
        <w:spacing w:before="0" w:after="0"/>
        <w:jc w:val="both"/>
        <w:outlineLvl w:val="0"/>
        <w:rPr>
          <w:bCs/>
          <w:sz w:val="22"/>
          <w:szCs w:val="24"/>
          <w:lang w:val="en-GB"/>
        </w:rPr>
      </w:pPr>
      <w:r w:rsidRPr="006D5A00">
        <w:rPr>
          <w:bCs/>
          <w:sz w:val="22"/>
          <w:szCs w:val="24"/>
          <w:lang w:val="en-GB"/>
        </w:rPr>
        <w:t>Commission Regulation (EU) No 80/2010 of 28 January 2010 amending Regulation (EC) No 718/2007 implementing Council Regulation (EC) No 1085/2006 establishing an instrument for pre-accession assistance (IPA</w:t>
      </w:r>
      <w:proofErr w:type="gramStart"/>
      <w:r w:rsidRPr="006D5A00">
        <w:rPr>
          <w:bCs/>
          <w:sz w:val="22"/>
          <w:szCs w:val="24"/>
          <w:lang w:val="en-GB"/>
        </w:rPr>
        <w:t>);</w:t>
      </w:r>
      <w:proofErr w:type="gramEnd"/>
    </w:p>
    <w:p w14:paraId="3F09176C" w14:textId="77777777" w:rsidR="00985AC4" w:rsidRPr="006D5A00" w:rsidRDefault="00985AC4" w:rsidP="00985AC4">
      <w:pPr>
        <w:numPr>
          <w:ilvl w:val="0"/>
          <w:numId w:val="46"/>
        </w:numPr>
        <w:snapToGrid w:val="0"/>
        <w:spacing w:before="0" w:after="0"/>
        <w:jc w:val="both"/>
        <w:outlineLvl w:val="0"/>
        <w:rPr>
          <w:bCs/>
          <w:sz w:val="22"/>
          <w:szCs w:val="24"/>
          <w:lang w:val="en-GB"/>
        </w:rPr>
      </w:pPr>
      <w:r w:rsidRPr="006D5A00">
        <w:rPr>
          <w:bCs/>
          <w:sz w:val="22"/>
          <w:szCs w:val="24"/>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5AD45C34" w14:textId="77777777" w:rsidR="00985AC4" w:rsidRPr="006D5A00" w:rsidRDefault="00985AC4" w:rsidP="00985AC4">
      <w:pPr>
        <w:numPr>
          <w:ilvl w:val="0"/>
          <w:numId w:val="46"/>
        </w:numPr>
        <w:snapToGrid w:val="0"/>
        <w:spacing w:before="0" w:after="0"/>
        <w:jc w:val="both"/>
        <w:outlineLvl w:val="0"/>
        <w:rPr>
          <w:bCs/>
          <w:sz w:val="22"/>
          <w:szCs w:val="24"/>
          <w:lang w:val="en-GB"/>
        </w:rPr>
      </w:pPr>
      <w:r w:rsidRPr="006D5A00">
        <w:rPr>
          <w:bCs/>
          <w:sz w:val="22"/>
          <w:szCs w:val="24"/>
          <w:lang w:val="en-GB"/>
        </w:rPr>
        <w:t xml:space="preserve">Regulation (EU) No 1299/2013 of the European Parliament and of the Council of 17 December 2013 on specific provisions for the support from the European Regional Development Fund to the European territorial cooperation </w:t>
      </w:r>
      <w:proofErr w:type="gramStart"/>
      <w:r w:rsidRPr="006D5A00">
        <w:rPr>
          <w:bCs/>
          <w:sz w:val="22"/>
          <w:szCs w:val="24"/>
          <w:lang w:val="en-GB"/>
        </w:rPr>
        <w:t>goal;</w:t>
      </w:r>
      <w:proofErr w:type="gramEnd"/>
    </w:p>
    <w:p w14:paraId="1FE22C28" w14:textId="77777777" w:rsidR="00985AC4" w:rsidRPr="006D5A00" w:rsidRDefault="00985AC4" w:rsidP="00985AC4">
      <w:pPr>
        <w:numPr>
          <w:ilvl w:val="0"/>
          <w:numId w:val="46"/>
        </w:numPr>
        <w:snapToGrid w:val="0"/>
        <w:spacing w:before="0" w:after="0"/>
        <w:jc w:val="both"/>
        <w:outlineLvl w:val="0"/>
        <w:rPr>
          <w:bCs/>
          <w:sz w:val="22"/>
          <w:szCs w:val="24"/>
          <w:lang w:val="en-GB"/>
        </w:rPr>
      </w:pPr>
      <w:r w:rsidRPr="006D5A00">
        <w:rPr>
          <w:bCs/>
          <w:sz w:val="22"/>
          <w:szCs w:val="24"/>
          <w:lang w:val="en-GB"/>
        </w:rPr>
        <w:t xml:space="preserve">Commission Implementing Regulation (EU) No 447/2014 of 2 May 2014 on the specific rules for </w:t>
      </w:r>
      <w:r w:rsidRPr="006D5A00">
        <w:rPr>
          <w:bCs/>
          <w:sz w:val="22"/>
          <w:szCs w:val="24"/>
          <w:lang w:val="en-GB"/>
        </w:rPr>
        <w:lastRenderedPageBreak/>
        <w:t>implementing Regulation (EU) No 231/2014 of the European Parliament and of the Council establishing an Instrument for Pre-accession assistance (IPA II)</w:t>
      </w:r>
    </w:p>
    <w:p w14:paraId="42C4B846" w14:textId="77777777" w:rsidR="00985AC4" w:rsidRPr="006D5A00" w:rsidRDefault="00985AC4" w:rsidP="00985AC4">
      <w:pPr>
        <w:numPr>
          <w:ilvl w:val="0"/>
          <w:numId w:val="46"/>
        </w:numPr>
        <w:snapToGrid w:val="0"/>
        <w:spacing w:before="0" w:after="0"/>
        <w:jc w:val="both"/>
        <w:outlineLvl w:val="0"/>
        <w:rPr>
          <w:bCs/>
          <w:sz w:val="22"/>
          <w:szCs w:val="24"/>
          <w:lang w:val="en-GB"/>
        </w:rPr>
      </w:pPr>
      <w:r w:rsidRPr="006D5A00">
        <w:rPr>
          <w:bCs/>
          <w:sz w:val="22"/>
          <w:szCs w:val="24"/>
          <w:lang w:val="en-GB"/>
        </w:rPr>
        <w:t>Regulation (EU) No 231/2014 of the European Parliament and of the Council of 11 March 2014 establishing an Instrument for Pre-accession Assistance (IPA II)</w:t>
      </w:r>
    </w:p>
    <w:p w14:paraId="0FDE22AF"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 xml:space="preserve">Regulation (EU) No 236/2014 of the European Parliament and of the Council of 11 March 2014 laying down Common Rules and Procedures for the Implementation of the </w:t>
      </w:r>
      <w:smartTag w:uri="urn:schemas-microsoft-com:office:smarttags" w:element="place">
        <w:r w:rsidRPr="006D5A00">
          <w:rPr>
            <w:sz w:val="22"/>
            <w:szCs w:val="24"/>
            <w:lang w:val="en-GB"/>
          </w:rPr>
          <w:t>Union</w:t>
        </w:r>
      </w:smartTag>
      <w:r w:rsidRPr="006D5A00">
        <w:rPr>
          <w:sz w:val="22"/>
          <w:szCs w:val="24"/>
          <w:lang w:val="en-GB"/>
        </w:rPr>
        <w:t>'s instruments for External Action (CIR)</w:t>
      </w:r>
    </w:p>
    <w:p w14:paraId="57E55177"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Regulation (EU, Euratom) No 966/2012 of 25 October 2012 on the rules applicable to the general budget of the Union (and in particular Chapter III of Title IV of Part Two, which concerns special provisions on procurement in external action), as amended by Regulation (EU, Euratom) No 2015/1929 of 28 October 2015;</w:t>
      </w:r>
    </w:p>
    <w:p w14:paraId="13731D6C"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Commission Delegated Regulation (EU) No 1268/2012 of 29 October 2012 laying down detailed rules for the implementation of the abovementioned Financial Regulation, (and in particular Chapter 2 of Title IV of Part Two, which concerns special provisions on procurement in external action), as amended by Commission Delegated Regulation (EU) No 2462/2015 of 30 October 2015;</w:t>
      </w:r>
    </w:p>
    <w:p w14:paraId="423C6DE2"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 xml:space="preserve">Commission Implementing Regulation (EU) No.821/2014 of 28 July 2014 laying down rules for the application of Regulation ( EU ) No 1303/2013 of the European parliament and of the </w:t>
      </w:r>
      <w:proofErr w:type="spellStart"/>
      <w:r w:rsidRPr="006D5A00">
        <w:rPr>
          <w:sz w:val="22"/>
          <w:szCs w:val="24"/>
          <w:lang w:val="en-GB"/>
        </w:rPr>
        <w:t>Councilas</w:t>
      </w:r>
      <w:proofErr w:type="spellEnd"/>
      <w:r w:rsidRPr="006D5A00">
        <w:rPr>
          <w:sz w:val="22"/>
          <w:szCs w:val="24"/>
          <w:lang w:val="en-GB"/>
        </w:rPr>
        <w:t xml:space="preserve"> regards detailed arrangements for the transfer and management of </w:t>
      </w:r>
      <w:proofErr w:type="spellStart"/>
      <w:r w:rsidRPr="006D5A00">
        <w:rPr>
          <w:sz w:val="22"/>
          <w:szCs w:val="24"/>
          <w:lang w:val="en-GB"/>
        </w:rPr>
        <w:t>prodramme</w:t>
      </w:r>
      <w:proofErr w:type="spellEnd"/>
      <w:r w:rsidRPr="006D5A00">
        <w:rPr>
          <w:sz w:val="22"/>
          <w:szCs w:val="24"/>
          <w:lang w:val="en-GB"/>
        </w:rPr>
        <w:t xml:space="preserve"> contributions, the reporting on financial instruments, technical characteristics of information and communications measures for operations and the system to record and store data, and its modifications;</w:t>
      </w:r>
    </w:p>
    <w:p w14:paraId="2350530A"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Commission Delegated Regulation (EU) No.481/2017 of 4 March 2014 supplementing Regulation (EU) No.1299/2013 of the European Parliament and of the Council with regard to specific rules on eligibility of expenditure for cooperation programmes, and its amendments;</w:t>
      </w:r>
    </w:p>
    <w:p w14:paraId="5B8E7B9A"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 xml:space="preserve">Article 20 of Regulation (EU) No.651/2014 of the </w:t>
      </w:r>
      <w:proofErr w:type="spellStart"/>
      <w:r w:rsidRPr="006D5A00">
        <w:rPr>
          <w:sz w:val="22"/>
          <w:szCs w:val="24"/>
          <w:lang w:val="en-GB"/>
        </w:rPr>
        <w:t>Commision</w:t>
      </w:r>
      <w:proofErr w:type="spellEnd"/>
      <w:r w:rsidRPr="006D5A00">
        <w:rPr>
          <w:sz w:val="22"/>
          <w:szCs w:val="24"/>
          <w:lang w:val="en-GB"/>
        </w:rPr>
        <w:t xml:space="preserve"> of 17 June 2014 declaring certain categories of aid compatible with the internal market within the meaning of Articles 107 and 108 of the Treaty, and its amendments;</w:t>
      </w:r>
    </w:p>
    <w:p w14:paraId="04289C0A"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 xml:space="preserve">Commission Regulation (EU) No.1407/2013 of 18 December 2013 on the application of Articles 107 and 108 of the Treaty on the Functioning of the European Union to </w:t>
      </w:r>
      <w:r w:rsidRPr="006D5A00">
        <w:rPr>
          <w:i/>
          <w:sz w:val="22"/>
          <w:szCs w:val="24"/>
          <w:lang w:val="en-GB"/>
        </w:rPr>
        <w:t>de minimis</w:t>
      </w:r>
      <w:r w:rsidRPr="006D5A00">
        <w:rPr>
          <w:sz w:val="22"/>
          <w:szCs w:val="24"/>
          <w:lang w:val="en-GB"/>
        </w:rPr>
        <w:t xml:space="preserve"> aid, and   its amendments</w:t>
      </w:r>
    </w:p>
    <w:p w14:paraId="24F6DDFD"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 xml:space="preserve">The financing agreements signed between the competent authorities of the European Commission, each IPA </w:t>
      </w:r>
      <w:proofErr w:type="spellStart"/>
      <w:r w:rsidRPr="006D5A00">
        <w:rPr>
          <w:sz w:val="22"/>
          <w:szCs w:val="24"/>
          <w:lang w:val="en-GB"/>
        </w:rPr>
        <w:t>countru</w:t>
      </w:r>
      <w:proofErr w:type="spellEnd"/>
      <w:r w:rsidRPr="006D5A00">
        <w:rPr>
          <w:sz w:val="22"/>
          <w:szCs w:val="24"/>
          <w:lang w:val="en-GB"/>
        </w:rPr>
        <w:t xml:space="preserve"> in question and the Interreg V-B “ Balkan-Mediterranean 2014-2020” Programme’s management Authority, and their amendments;</w:t>
      </w:r>
    </w:p>
    <w:p w14:paraId="2DAEE8C9"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The decision of the Monitoring Committee of March 10-th 2017;</w:t>
      </w:r>
    </w:p>
    <w:p w14:paraId="2A253180" w14:textId="77777777" w:rsidR="00985AC4" w:rsidRPr="006D5A00" w:rsidRDefault="00985AC4" w:rsidP="00985AC4">
      <w:pPr>
        <w:widowControl/>
        <w:numPr>
          <w:ilvl w:val="0"/>
          <w:numId w:val="46"/>
        </w:numPr>
        <w:autoSpaceDE w:val="0"/>
        <w:autoSpaceDN w:val="0"/>
        <w:adjustRightInd w:val="0"/>
        <w:snapToGrid w:val="0"/>
        <w:spacing w:before="0" w:after="0"/>
        <w:jc w:val="both"/>
        <w:rPr>
          <w:sz w:val="22"/>
          <w:szCs w:val="24"/>
          <w:lang w:val="en-GB"/>
        </w:rPr>
      </w:pPr>
      <w:r w:rsidRPr="006D5A00">
        <w:rPr>
          <w:sz w:val="22"/>
          <w:szCs w:val="24"/>
          <w:lang w:val="en-GB"/>
        </w:rPr>
        <w:t>The Partnership Agreement signed by all interested partners of the financed project and its amendments;</w:t>
      </w:r>
    </w:p>
    <w:p w14:paraId="6FE8C41A" w14:textId="77777777" w:rsidR="00985AC4" w:rsidRPr="006D5A00" w:rsidRDefault="00985AC4" w:rsidP="00985AC4">
      <w:pPr>
        <w:pStyle w:val="PRAGHeading2"/>
        <w:numPr>
          <w:ilvl w:val="0"/>
          <w:numId w:val="46"/>
        </w:numPr>
        <w:tabs>
          <w:tab w:val="left" w:pos="708"/>
        </w:tabs>
        <w:snapToGrid w:val="0"/>
        <w:spacing w:before="0" w:after="0"/>
        <w:jc w:val="both"/>
        <w:rPr>
          <w:bCs/>
          <w:sz w:val="22"/>
          <w:szCs w:val="24"/>
          <w:lang w:val="en-GB"/>
        </w:rPr>
      </w:pPr>
      <w:r w:rsidRPr="006D5A00">
        <w:rPr>
          <w:sz w:val="22"/>
          <w:szCs w:val="24"/>
          <w:lang w:val="en-GB"/>
        </w:rPr>
        <w:t xml:space="preserve">The Practical Guide to Contract Procedures for EU External Actions (PRAG) together with the standard documents and templates in </w:t>
      </w:r>
      <w:r w:rsidRPr="006D5A00">
        <w:rPr>
          <w:sz w:val="22"/>
          <w:szCs w:val="24"/>
          <w:lang w:val="en-GB" w:eastAsia="zh-CN"/>
        </w:rPr>
        <w:t>the annexes to it.</w:t>
      </w:r>
    </w:p>
    <w:p w14:paraId="4FB81A06" w14:textId="77777777" w:rsidR="00985AC4" w:rsidRPr="00195088" w:rsidRDefault="00985AC4" w:rsidP="00985AC4">
      <w:pPr>
        <w:pStyle w:val="Blockquote"/>
        <w:ind w:left="426" w:right="310" w:firstLine="218"/>
        <w:jc w:val="both"/>
        <w:rPr>
          <w:bCs/>
          <w:sz w:val="22"/>
          <w:szCs w:val="22"/>
          <w:lang w:val="en-GB"/>
        </w:rPr>
      </w:pPr>
      <w:r w:rsidRPr="00195088">
        <w:rPr>
          <w:bCs/>
          <w:sz w:val="22"/>
          <w:szCs w:val="22"/>
          <w:lang w:val="en-GB"/>
        </w:rPr>
        <w:t>and in compliance with:</w:t>
      </w:r>
    </w:p>
    <w:p w14:paraId="28541BF0" w14:textId="77777777" w:rsidR="00985AC4" w:rsidRPr="00B33EE6" w:rsidRDefault="00985AC4" w:rsidP="00E147D3">
      <w:pPr>
        <w:pStyle w:val="Blockquote"/>
        <w:ind w:left="426" w:right="310"/>
        <w:jc w:val="both"/>
        <w:rPr>
          <w:b/>
          <w:bCs/>
          <w:sz w:val="22"/>
          <w:szCs w:val="22"/>
          <w:lang w:val="en-GB"/>
        </w:rPr>
      </w:pPr>
    </w:p>
    <w:p w14:paraId="3E1530A6"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5A7A479F" w14:textId="77777777" w:rsidR="009D5461" w:rsidRPr="00F9055E" w:rsidRDefault="009D5461" w:rsidP="009D5461">
      <w:pPr>
        <w:widowControl/>
        <w:snapToGrid w:val="0"/>
        <w:spacing w:after="0"/>
        <w:ind w:left="360" w:right="360"/>
        <w:jc w:val="both"/>
        <w:rPr>
          <w:sz w:val="22"/>
          <w:szCs w:val="22"/>
          <w:lang w:val="en-GB"/>
        </w:rPr>
      </w:pPr>
      <w:r w:rsidRPr="008660AD">
        <w:rPr>
          <w:sz w:val="22"/>
          <w:szCs w:val="22"/>
          <w:lang w:val="en-GB"/>
        </w:rPr>
        <w:t xml:space="preserve">Financial data to be provided by the candidate in the standard application form must be expressed in </w:t>
      </w:r>
      <w:r w:rsidRPr="00D61F91">
        <w:rPr>
          <w:sz w:val="22"/>
          <w:szCs w:val="22"/>
          <w:lang w:val="en-GB"/>
        </w:rPr>
        <w:t>EUR.</w:t>
      </w:r>
      <w:r w:rsidRPr="008660AD">
        <w:rPr>
          <w:sz w:val="22"/>
          <w:szCs w:val="22"/>
          <w:lang w:val="en-GB"/>
        </w:rPr>
        <w:t xml:space="preserve"> If applicable, where a candidate refers to amounts originally expressed in a different currency, the conversion </w:t>
      </w:r>
      <w:r w:rsidRPr="00D61F91">
        <w:rPr>
          <w:sz w:val="22"/>
          <w:szCs w:val="22"/>
          <w:lang w:val="en-GB"/>
        </w:rPr>
        <w:t>to EUR</w:t>
      </w:r>
      <w:r>
        <w:rPr>
          <w:sz w:val="22"/>
          <w:szCs w:val="22"/>
          <w:lang w:val="en-GB"/>
        </w:rPr>
        <w:t xml:space="preserve"> </w:t>
      </w:r>
      <w:r w:rsidRPr="00D61F91">
        <w:rPr>
          <w:sz w:val="22"/>
          <w:szCs w:val="22"/>
          <w:lang w:val="en-GB"/>
        </w:rPr>
        <w:t>shall</w:t>
      </w:r>
      <w:r w:rsidRPr="008660AD">
        <w:rPr>
          <w:sz w:val="22"/>
          <w:szCs w:val="22"/>
          <w:lang w:val="en-GB"/>
        </w:rPr>
        <w:t xml:space="preserve"> be made in accordance with the </w:t>
      </w:r>
      <w:proofErr w:type="spellStart"/>
      <w:r w:rsidRPr="008660AD">
        <w:rPr>
          <w:sz w:val="22"/>
          <w:szCs w:val="22"/>
          <w:lang w:val="en-GB"/>
        </w:rPr>
        <w:t>InforEuro</w:t>
      </w:r>
      <w:proofErr w:type="spellEnd"/>
      <w:r w:rsidRPr="008660AD">
        <w:rPr>
          <w:sz w:val="22"/>
          <w:szCs w:val="22"/>
          <w:lang w:val="en-GB"/>
        </w:rPr>
        <w:t xml:space="preserve"> exchange rate of </w:t>
      </w:r>
      <w:r w:rsidRPr="008440DB">
        <w:rPr>
          <w:b/>
          <w:sz w:val="22"/>
          <w:szCs w:val="22"/>
          <w:lang w:val="en-GB"/>
        </w:rPr>
        <w:t xml:space="preserve">MONTH </w:t>
      </w:r>
      <w:r w:rsidRPr="00D61F91">
        <w:rPr>
          <w:b/>
          <w:sz w:val="22"/>
          <w:szCs w:val="22"/>
          <w:lang w:val="en-GB"/>
        </w:rPr>
        <w:t xml:space="preserve">and 2022 </w:t>
      </w:r>
      <w:r w:rsidRPr="00D61F91">
        <w:rPr>
          <w:sz w:val="22"/>
          <w:szCs w:val="22"/>
          <w:lang w:val="en-GB"/>
        </w:rPr>
        <w:t xml:space="preserve">of the applicable </w:t>
      </w:r>
      <w:proofErr w:type="spellStart"/>
      <w:r w:rsidRPr="00D61F91">
        <w:rPr>
          <w:sz w:val="22"/>
          <w:szCs w:val="22"/>
          <w:lang w:val="en-GB"/>
        </w:rPr>
        <w:t>InforEuro</w:t>
      </w:r>
      <w:proofErr w:type="spellEnd"/>
      <w:r w:rsidRPr="00D61F91">
        <w:rPr>
          <w:sz w:val="22"/>
          <w:szCs w:val="22"/>
          <w:lang w:val="en-GB"/>
        </w:rPr>
        <w:t xml:space="preserve"> exchange rate, which can either correspond to the month and year of the publication of the present contract notice or the month and year </w:t>
      </w:r>
      <w:r w:rsidRPr="00D61F91">
        <w:rPr>
          <w:sz w:val="22"/>
          <w:szCs w:val="22"/>
          <w:lang w:val="en-GB"/>
        </w:rPr>
        <w:lastRenderedPageBreak/>
        <w:t>corresponding to the deadline for submitting applications, which</w:t>
      </w:r>
      <w:r w:rsidRPr="008660AD">
        <w:rPr>
          <w:sz w:val="22"/>
          <w:szCs w:val="22"/>
          <w:lang w:val="en-GB"/>
        </w:rPr>
        <w:t xml:space="preserve"> can be found at the following address: </w:t>
      </w:r>
      <w:hyperlink r:id="rId10" w:history="1">
        <w:r w:rsidRPr="008660AD">
          <w:rPr>
            <w:rStyle w:val="Hyperlink"/>
            <w:sz w:val="22"/>
            <w:szCs w:val="22"/>
            <w:lang w:val="en-GB"/>
          </w:rPr>
          <w:t>http://ec.europa.eu/budget/graphs/inforeuro.html</w:t>
        </w:r>
      </w:hyperlink>
      <w:r w:rsidRPr="008660AD">
        <w:rPr>
          <w:sz w:val="22"/>
          <w:szCs w:val="22"/>
          <w:lang w:val="en-GB"/>
        </w:rPr>
        <w:t>.</w:t>
      </w:r>
    </w:p>
    <w:p w14:paraId="4A7C475B" w14:textId="77777777" w:rsidR="007F6AA9" w:rsidRPr="00F9055E" w:rsidRDefault="007F6AA9" w:rsidP="00235A71">
      <w:pPr>
        <w:pStyle w:val="Blockquote"/>
        <w:jc w:val="both"/>
        <w:rPr>
          <w:sz w:val="22"/>
          <w:szCs w:val="22"/>
          <w:lang w:val="en-GB"/>
        </w:rPr>
      </w:pPr>
    </w:p>
    <w:sectPr w:rsidR="007F6AA9" w:rsidRPr="00F9055E" w:rsidSect="00E147D3">
      <w:headerReference w:type="default" r:id="rId11"/>
      <w:footerReference w:type="default" r:id="rId12"/>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74C0" w14:textId="77777777" w:rsidR="00D4059E" w:rsidRDefault="00D4059E">
      <w:r>
        <w:separator/>
      </w:r>
    </w:p>
  </w:endnote>
  <w:endnote w:type="continuationSeparator" w:id="0">
    <w:p w14:paraId="5517BD84" w14:textId="77777777" w:rsidR="00D4059E" w:rsidRDefault="00D4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B593" w14:textId="37E3705F" w:rsidR="00EF0A8C" w:rsidRPr="00B33EE6" w:rsidRDefault="00A61020" w:rsidP="00F9055E">
    <w:pPr>
      <w:pStyle w:val="Footer"/>
      <w:tabs>
        <w:tab w:val="clear" w:pos="4320"/>
        <w:tab w:val="clear" w:pos="8640"/>
        <w:tab w:val="right" w:pos="9214"/>
      </w:tabs>
      <w:spacing w:before="120" w:after="0"/>
      <w:rPr>
        <w:b/>
        <w:sz w:val="20"/>
        <w:lang w:val="en-GB"/>
      </w:rPr>
    </w:pPr>
    <w:r>
      <w:rPr>
        <w:b/>
        <w:sz w:val="20"/>
      </w:rPr>
      <w:t xml:space="preserve">May </w:t>
    </w:r>
    <w:r w:rsidR="003670BA" w:rsidRPr="003670BA">
      <w:rPr>
        <w:b/>
        <w:sz w:val="20"/>
      </w:rPr>
      <w:t>202</w:t>
    </w:r>
    <w:r w:rsidR="00604519">
      <w:rPr>
        <w:b/>
        <w:sz w:val="20"/>
      </w:rPr>
      <w:t>2</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4C33D1">
      <w:rPr>
        <w:rStyle w:val="PageNumber"/>
        <w:noProof/>
        <w:sz w:val="18"/>
        <w:szCs w:val="18"/>
        <w:lang w:val="en-GB"/>
      </w:rPr>
      <w:t>4</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4C33D1">
      <w:rPr>
        <w:rStyle w:val="PageNumber"/>
        <w:noProof/>
        <w:sz w:val="18"/>
        <w:szCs w:val="18"/>
        <w:lang w:val="en-GB"/>
      </w:rPr>
      <w:t>5</w:t>
    </w:r>
    <w:r w:rsidR="00B33EE6" w:rsidRPr="00B33EE6">
      <w:rPr>
        <w:rStyle w:val="PageNumber"/>
        <w:sz w:val="18"/>
        <w:szCs w:val="18"/>
        <w:lang w:val="en-GB"/>
      </w:rPr>
      <w:fldChar w:fldCharType="end"/>
    </w:r>
  </w:p>
  <w:p w14:paraId="070FA2B2" w14:textId="05E1FC50"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7D94" w14:textId="77777777" w:rsidR="00D4059E" w:rsidRDefault="00D4059E">
      <w:r>
        <w:separator/>
      </w:r>
    </w:p>
  </w:footnote>
  <w:footnote w:type="continuationSeparator" w:id="0">
    <w:p w14:paraId="41F59BCB" w14:textId="77777777" w:rsidR="00D4059E" w:rsidRDefault="00D4059E">
      <w:r>
        <w:continuationSeparator/>
      </w:r>
    </w:p>
  </w:footnote>
  <w:footnote w:id="1">
    <w:p w14:paraId="09FE4F14" w14:textId="77777777" w:rsidR="000D5AF9" w:rsidRPr="001109B5" w:rsidRDefault="000D5AF9" w:rsidP="000D5AF9">
      <w:pPr>
        <w:pStyle w:val="FootnoteText"/>
        <w:spacing w:before="0" w:after="0"/>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proofErr w:type="spellStart"/>
      <w:r w:rsidRPr="00E67DA7">
        <w:rPr>
          <w:rStyle w:val="highlight"/>
          <w:lang w:val="en-GB"/>
        </w:rPr>
        <w:t>instrumentcontributingtostabilityandpeace</w:t>
      </w:r>
      <w:proofErr w:type="spellEnd"/>
      <w:r w:rsidRPr="00E67DA7">
        <w:rPr>
          <w:rStyle w:val="highlight"/>
          <w:lang w:val="en-GB"/>
        </w:rPr>
        <w:t xml:space="preserve"> (</w:t>
      </w:r>
      <w:r w:rsidRPr="00E67DA7">
        <w:rPr>
          <w:iCs/>
          <w:lang w:val="en-GB"/>
        </w:rPr>
        <w:t>OJ L 77, 15.3.2014, p. 1).</w:t>
      </w:r>
    </w:p>
  </w:footnote>
  <w:footnote w:id="2">
    <w:p w14:paraId="7C2C69B6" w14:textId="77777777" w:rsidR="000D5AF9" w:rsidRPr="001109B5" w:rsidRDefault="000D5AF9" w:rsidP="000D5AF9">
      <w:pPr>
        <w:pStyle w:val="FootnoteText"/>
        <w:spacing w:before="0" w:after="0"/>
      </w:pPr>
      <w:r w:rsidRPr="00CC0B7A">
        <w:rPr>
          <w:rStyle w:val="FootnoteReference"/>
        </w:rPr>
        <w:footnoteRef/>
      </w:r>
      <w:r w:rsidRPr="006C1625">
        <w:rPr>
          <w:rStyle w:val="FootnoteTextChar"/>
          <w:lang w:val="en-GB"/>
        </w:rPr>
        <w:t>Article 11 CIR.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A547" w14:textId="5989461D" w:rsidR="00C140DE" w:rsidRPr="00C140DE" w:rsidRDefault="00C140DE" w:rsidP="00C140DE">
    <w:pPr>
      <w:widowControl/>
      <w:pBdr>
        <w:bottom w:val="single" w:sz="12" w:space="1" w:color="auto"/>
      </w:pBdr>
      <w:tabs>
        <w:tab w:val="left" w:pos="450"/>
        <w:tab w:val="center" w:pos="4320"/>
        <w:tab w:val="right" w:pos="8640"/>
      </w:tabs>
      <w:spacing w:before="0" w:after="0"/>
      <w:ind w:left="-450" w:right="-540"/>
      <w:rPr>
        <w:snapToGrid/>
        <w:lang w:val="fr-FR" w:eastAsia="en-GB"/>
      </w:rPr>
    </w:pPr>
    <w:bookmarkStart w:id="0" w:name="_Hlk108775508"/>
    <w:bookmarkStart w:id="1" w:name="_Hlk108775509"/>
    <w:r w:rsidRPr="00C140DE">
      <w:rPr>
        <w:noProof/>
        <w:snapToGrid/>
        <w:lang w:val="fr-FR" w:eastAsia="en-GB"/>
      </w:rPr>
      <w:drawing>
        <wp:anchor distT="0" distB="0" distL="114300" distR="114300" simplePos="0" relativeHeight="251656704" behindDoc="0" locked="0" layoutInCell="1" allowOverlap="1" wp14:anchorId="63E66423" wp14:editId="74541A7E">
          <wp:simplePos x="0" y="0"/>
          <wp:positionH relativeFrom="column">
            <wp:posOffset>5034915</wp:posOffset>
          </wp:positionH>
          <wp:positionV relativeFrom="paragraph">
            <wp:posOffset>-243205</wp:posOffset>
          </wp:positionV>
          <wp:extent cx="742315" cy="742315"/>
          <wp:effectExtent l="0" t="0" r="635" b="63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r w:rsidRPr="00C140DE">
      <w:rPr>
        <w:noProof/>
        <w:snapToGrid/>
        <w:lang w:val="fr-FR" w:eastAsia="en-GB"/>
      </w:rPr>
      <w:drawing>
        <wp:anchor distT="0" distB="0" distL="114300" distR="114300" simplePos="0" relativeHeight="251657728" behindDoc="0" locked="0" layoutInCell="1" allowOverlap="1" wp14:anchorId="189C807D" wp14:editId="183B37BA">
          <wp:simplePos x="0" y="0"/>
          <wp:positionH relativeFrom="column">
            <wp:posOffset>5868670</wp:posOffset>
          </wp:positionH>
          <wp:positionV relativeFrom="paragraph">
            <wp:posOffset>-214630</wp:posOffset>
          </wp:positionV>
          <wp:extent cx="493395" cy="638175"/>
          <wp:effectExtent l="0" t="0" r="1905" b="952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sidRPr="00C140DE">
      <w:rPr>
        <w:noProof/>
        <w:snapToGrid/>
        <w:lang w:val="fr-FR" w:eastAsia="en-GB"/>
      </w:rPr>
      <w:drawing>
        <wp:anchor distT="0" distB="0" distL="114300" distR="114300" simplePos="0" relativeHeight="251658752" behindDoc="0" locked="0" layoutInCell="1" allowOverlap="1" wp14:anchorId="46F9F2DB" wp14:editId="1588E8EE">
          <wp:simplePos x="0" y="0"/>
          <wp:positionH relativeFrom="column">
            <wp:posOffset>-373380</wp:posOffset>
          </wp:positionH>
          <wp:positionV relativeFrom="paragraph">
            <wp:posOffset>-24130</wp:posOffset>
          </wp:positionV>
          <wp:extent cx="1867535" cy="433705"/>
          <wp:effectExtent l="0" t="0" r="0" b="444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sidRPr="00C140DE">
      <w:rPr>
        <w:snapToGrid/>
        <w:lang w:val="fr-FR" w:eastAsia="en-GB"/>
      </w:rPr>
      <w:t xml:space="preserve">                                                        </w:t>
    </w:r>
  </w:p>
  <w:p w14:paraId="145FA050" w14:textId="77777777" w:rsidR="00C140DE" w:rsidRPr="00C140DE" w:rsidRDefault="00C140DE" w:rsidP="00C140DE">
    <w:pPr>
      <w:widowControl/>
      <w:pBdr>
        <w:bottom w:val="single" w:sz="12" w:space="1" w:color="auto"/>
      </w:pBdr>
      <w:tabs>
        <w:tab w:val="left" w:pos="450"/>
        <w:tab w:val="center" w:pos="4320"/>
        <w:tab w:val="right" w:pos="8640"/>
      </w:tabs>
      <w:spacing w:before="0" w:after="0"/>
      <w:ind w:left="-450" w:right="-540"/>
      <w:rPr>
        <w:snapToGrid/>
        <w:lang w:val="fr-FR" w:eastAsia="en-GB"/>
      </w:rPr>
    </w:pPr>
  </w:p>
  <w:p w14:paraId="3395D8EE" w14:textId="77777777" w:rsidR="00C140DE" w:rsidRPr="00C140DE" w:rsidRDefault="00C140DE" w:rsidP="00C140DE">
    <w:pPr>
      <w:widowControl/>
      <w:pBdr>
        <w:bottom w:val="single" w:sz="12" w:space="1" w:color="auto"/>
      </w:pBdr>
      <w:tabs>
        <w:tab w:val="left" w:pos="450"/>
        <w:tab w:val="center" w:pos="4320"/>
        <w:tab w:val="right" w:pos="8640"/>
      </w:tabs>
      <w:spacing w:before="0" w:after="0"/>
      <w:ind w:left="-450" w:right="-540"/>
      <w:rPr>
        <w:rFonts w:cs="Arial"/>
        <w:snapToGrid/>
        <w:lang w:val="fr-FR" w:eastAsia="en-GB"/>
      </w:rPr>
    </w:pPr>
  </w:p>
  <w:p w14:paraId="0D7554D5" w14:textId="2019A9CC" w:rsidR="00604519" w:rsidRDefault="00C140DE" w:rsidP="003E1345">
    <w:pPr>
      <w:widowControl/>
      <w:tabs>
        <w:tab w:val="left" w:pos="450"/>
        <w:tab w:val="center" w:pos="4320"/>
        <w:tab w:val="right" w:pos="8640"/>
      </w:tabs>
      <w:spacing w:before="0" w:after="0"/>
      <w:ind w:left="-450"/>
      <w:jc w:val="both"/>
      <w:rPr>
        <w:rFonts w:cs="Arial"/>
        <w:snapToGrid/>
        <w:lang w:val="fr-FR" w:eastAsia="en-GB"/>
      </w:rPr>
    </w:pPr>
    <w:r w:rsidRPr="00C140DE">
      <w:rPr>
        <w:rFonts w:cs="Arial"/>
        <w:snapToGrid/>
        <w:lang w:val="fr-FR" w:eastAsia="en-GB"/>
      </w:rPr>
      <w:t xml:space="preserve">Project </w:t>
    </w:r>
    <w:proofErr w:type="spellStart"/>
    <w:r w:rsidRPr="00C140DE">
      <w:rPr>
        <w:rFonts w:cs="Arial"/>
        <w:snapToGrid/>
        <w:lang w:val="fr-FR" w:eastAsia="en-GB"/>
      </w:rPr>
      <w:t>co-funded</w:t>
    </w:r>
    <w:proofErr w:type="spellEnd"/>
    <w:r w:rsidRPr="00C140DE">
      <w:rPr>
        <w:rFonts w:cs="Arial"/>
        <w:snapToGrid/>
        <w:lang w:val="fr-FR" w:eastAsia="en-GB"/>
      </w:rPr>
      <w:t xml:space="preserve"> by the </w:t>
    </w:r>
    <w:proofErr w:type="spellStart"/>
    <w:r w:rsidRPr="00C140DE">
      <w:rPr>
        <w:rFonts w:cs="Arial"/>
        <w:snapToGrid/>
        <w:lang w:val="fr-FR" w:eastAsia="en-GB"/>
      </w:rPr>
      <w:t>European</w:t>
    </w:r>
    <w:proofErr w:type="spellEnd"/>
    <w:r w:rsidRPr="00C140DE">
      <w:rPr>
        <w:rFonts w:cs="Arial"/>
        <w:snapToGrid/>
        <w:lang w:val="fr-FR" w:eastAsia="en-GB"/>
      </w:rPr>
      <w:t xml:space="preserve"> Union and national </w:t>
    </w:r>
    <w:proofErr w:type="spellStart"/>
    <w:r w:rsidRPr="00C140DE">
      <w:rPr>
        <w:rFonts w:cs="Arial"/>
        <w:snapToGrid/>
        <w:lang w:val="fr-FR" w:eastAsia="en-GB"/>
      </w:rPr>
      <w:t>funds</w:t>
    </w:r>
    <w:proofErr w:type="spellEnd"/>
    <w:r w:rsidRPr="00C140DE">
      <w:rPr>
        <w:rFonts w:cs="Arial"/>
        <w:snapToGrid/>
        <w:lang w:val="fr-FR" w:eastAsia="en-GB"/>
      </w:rPr>
      <w:t xml:space="preserve"> of the </w:t>
    </w:r>
    <w:proofErr w:type="spellStart"/>
    <w:r w:rsidRPr="00C140DE">
      <w:rPr>
        <w:rFonts w:cs="Arial"/>
        <w:snapToGrid/>
        <w:lang w:val="fr-FR" w:eastAsia="en-GB"/>
      </w:rPr>
      <w:t>participating</w:t>
    </w:r>
    <w:proofErr w:type="spellEnd"/>
    <w:r w:rsidRPr="00C140DE">
      <w:rPr>
        <w:rFonts w:cs="Arial"/>
        <w:snapToGrid/>
        <w:lang w:val="fr-FR" w:eastAsia="en-GB"/>
      </w:rPr>
      <w:t xml:space="preserve"> countries.</w:t>
    </w:r>
    <w:bookmarkEnd w:id="0"/>
    <w:bookmarkEnd w:id="1"/>
  </w:p>
  <w:p w14:paraId="1393BE25" w14:textId="77777777" w:rsidR="003E1345" w:rsidRPr="003E1345" w:rsidRDefault="003E1345" w:rsidP="003E1345">
    <w:pPr>
      <w:widowControl/>
      <w:tabs>
        <w:tab w:val="left" w:pos="450"/>
        <w:tab w:val="center" w:pos="4320"/>
        <w:tab w:val="right" w:pos="8640"/>
      </w:tabs>
      <w:spacing w:before="0" w:after="0"/>
      <w:ind w:left="-450"/>
      <w:jc w:val="both"/>
      <w:rPr>
        <w:rFonts w:cs="Arial"/>
        <w:snapToGrid/>
        <w:lang w:val="fr-FR"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4B54BEF"/>
    <w:multiLevelType w:val="hybridMultilevel"/>
    <w:tmpl w:val="CE9A780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11550CB7"/>
    <w:multiLevelType w:val="hybridMultilevel"/>
    <w:tmpl w:val="6EC8475E"/>
    <w:lvl w:ilvl="0" w:tplc="874AB6E8">
      <w:start w:val="1"/>
      <w:numFmt w:val="bullet"/>
      <w:lvlText w:val="-"/>
      <w:lvlJc w:val="left"/>
      <w:pPr>
        <w:ind w:left="1080" w:hanging="360"/>
      </w:pPr>
      <w:rPr>
        <w:rFonts w:ascii="StobiSerif Regular" w:eastAsia="Times New Roman"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5D903EB"/>
    <w:multiLevelType w:val="hybridMultilevel"/>
    <w:tmpl w:val="ABAA2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AFF0D27"/>
    <w:multiLevelType w:val="hybridMultilevel"/>
    <w:tmpl w:val="A7421ACA"/>
    <w:lvl w:ilvl="0" w:tplc="8F4605D8">
      <w:start w:val="1"/>
      <w:numFmt w:val="decimal"/>
      <w:lvlText w:val="%1)"/>
      <w:lvlJc w:val="left"/>
      <w:pPr>
        <w:ind w:left="717" w:hanging="360"/>
      </w:pPr>
      <w:rPr>
        <w:rFonts w:hint="default"/>
        <w:b/>
        <w:u w:val="singl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16cid:durableId="802968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79702139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9074490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03365545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15876208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3846451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70020855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42383897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44925052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13995292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382113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36597789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1140809800">
    <w:abstractNumId w:val="17"/>
  </w:num>
  <w:num w:numId="14" w16cid:durableId="1390497765">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170565577">
    <w:abstractNumId w:val="13"/>
  </w:num>
  <w:num w:numId="16" w16cid:durableId="1457069484">
    <w:abstractNumId w:val="15"/>
  </w:num>
  <w:num w:numId="17" w16cid:durableId="30817613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775293283">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1151288480">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210773403">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79571314">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2090614715">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470827277">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219944868">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712265264">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1736005080">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819081618">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447966966">
    <w:abstractNumId w:val="27"/>
  </w:num>
  <w:num w:numId="29" w16cid:durableId="1361468895">
    <w:abstractNumId w:val="27"/>
  </w:num>
  <w:num w:numId="30" w16cid:durableId="144974754">
    <w:abstractNumId w:val="27"/>
  </w:num>
  <w:num w:numId="31" w16cid:durableId="341591150">
    <w:abstractNumId w:val="27"/>
  </w:num>
  <w:num w:numId="32" w16cid:durableId="141139378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810710556">
    <w:abstractNumId w:val="36"/>
  </w:num>
  <w:num w:numId="34" w16cid:durableId="1700626005">
    <w:abstractNumId w:val="43"/>
  </w:num>
  <w:num w:numId="35" w16cid:durableId="263272304">
    <w:abstractNumId w:val="35"/>
  </w:num>
  <w:num w:numId="36" w16cid:durableId="1125197090">
    <w:abstractNumId w:val="34"/>
  </w:num>
  <w:num w:numId="37" w16cid:durableId="1790272800">
    <w:abstractNumId w:val="38"/>
  </w:num>
  <w:num w:numId="38" w16cid:durableId="284314739">
    <w:abstractNumId w:val="41"/>
  </w:num>
  <w:num w:numId="39" w16cid:durableId="1898125760">
    <w:abstractNumId w:val="45"/>
  </w:num>
  <w:num w:numId="40" w16cid:durableId="1493908543">
    <w:abstractNumId w:val="47"/>
  </w:num>
  <w:num w:numId="41" w16cid:durableId="1747457380">
    <w:abstractNumId w:val="42"/>
  </w:num>
  <w:num w:numId="42" w16cid:durableId="149296743">
    <w:abstractNumId w:val="44"/>
  </w:num>
  <w:num w:numId="43" w16cid:durableId="451365103">
    <w:abstractNumId w:val="39"/>
  </w:num>
  <w:num w:numId="44" w16cid:durableId="687409281">
    <w:abstractNumId w:val="46"/>
  </w:num>
  <w:num w:numId="45" w16cid:durableId="159977604">
    <w:abstractNumId w:val="33"/>
  </w:num>
  <w:num w:numId="46" w16cid:durableId="1890918645">
    <w:abstractNumId w:val="40"/>
  </w:num>
  <w:num w:numId="47" w16cid:durableId="1418211632">
    <w:abstractNumId w:val="37"/>
  </w:num>
  <w:num w:numId="48" w16cid:durableId="80524547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15065"/>
    <w:rsid w:val="0002004D"/>
    <w:rsid w:val="00022D5F"/>
    <w:rsid w:val="0003004C"/>
    <w:rsid w:val="00030910"/>
    <w:rsid w:val="000333FE"/>
    <w:rsid w:val="00051D1D"/>
    <w:rsid w:val="00062DAB"/>
    <w:rsid w:val="00063470"/>
    <w:rsid w:val="00063FB5"/>
    <w:rsid w:val="00087A72"/>
    <w:rsid w:val="00093DE9"/>
    <w:rsid w:val="00095030"/>
    <w:rsid w:val="000A0D57"/>
    <w:rsid w:val="000A17F1"/>
    <w:rsid w:val="000A3758"/>
    <w:rsid w:val="000B0506"/>
    <w:rsid w:val="000B2B87"/>
    <w:rsid w:val="000B693E"/>
    <w:rsid w:val="000B7C91"/>
    <w:rsid w:val="000C1101"/>
    <w:rsid w:val="000C1522"/>
    <w:rsid w:val="000C3F78"/>
    <w:rsid w:val="000C62E4"/>
    <w:rsid w:val="000D1732"/>
    <w:rsid w:val="000D3EBF"/>
    <w:rsid w:val="000D5AF9"/>
    <w:rsid w:val="000E4709"/>
    <w:rsid w:val="000F0F6C"/>
    <w:rsid w:val="000F1340"/>
    <w:rsid w:val="000F1A46"/>
    <w:rsid w:val="000F5DEF"/>
    <w:rsid w:val="0010162C"/>
    <w:rsid w:val="00105302"/>
    <w:rsid w:val="0011145B"/>
    <w:rsid w:val="0013314C"/>
    <w:rsid w:val="0014405E"/>
    <w:rsid w:val="00145CFA"/>
    <w:rsid w:val="00150687"/>
    <w:rsid w:val="001661F7"/>
    <w:rsid w:val="00171F2E"/>
    <w:rsid w:val="00177045"/>
    <w:rsid w:val="00180D47"/>
    <w:rsid w:val="001903F3"/>
    <w:rsid w:val="001951FE"/>
    <w:rsid w:val="001A59BB"/>
    <w:rsid w:val="001B2571"/>
    <w:rsid w:val="001C21A2"/>
    <w:rsid w:val="001C64F1"/>
    <w:rsid w:val="001D19A6"/>
    <w:rsid w:val="001D55F7"/>
    <w:rsid w:val="001E2C7C"/>
    <w:rsid w:val="001E3682"/>
    <w:rsid w:val="001E50A2"/>
    <w:rsid w:val="001F0839"/>
    <w:rsid w:val="001F1546"/>
    <w:rsid w:val="001F780C"/>
    <w:rsid w:val="00201320"/>
    <w:rsid w:val="00201F5C"/>
    <w:rsid w:val="00212656"/>
    <w:rsid w:val="00213E14"/>
    <w:rsid w:val="00216179"/>
    <w:rsid w:val="002166F3"/>
    <w:rsid w:val="00221290"/>
    <w:rsid w:val="00226829"/>
    <w:rsid w:val="00233B9D"/>
    <w:rsid w:val="00233DDA"/>
    <w:rsid w:val="00235A71"/>
    <w:rsid w:val="002413EA"/>
    <w:rsid w:val="002435BC"/>
    <w:rsid w:val="00243849"/>
    <w:rsid w:val="002575AA"/>
    <w:rsid w:val="00266EB9"/>
    <w:rsid w:val="002753AD"/>
    <w:rsid w:val="00275833"/>
    <w:rsid w:val="00295569"/>
    <w:rsid w:val="002976BE"/>
    <w:rsid w:val="002A2581"/>
    <w:rsid w:val="002B2145"/>
    <w:rsid w:val="002D1945"/>
    <w:rsid w:val="002D266E"/>
    <w:rsid w:val="002D4121"/>
    <w:rsid w:val="002D5C86"/>
    <w:rsid w:val="002E1B83"/>
    <w:rsid w:val="002E2635"/>
    <w:rsid w:val="002E7D33"/>
    <w:rsid w:val="002F4E69"/>
    <w:rsid w:val="003045C3"/>
    <w:rsid w:val="00313F6B"/>
    <w:rsid w:val="00322D52"/>
    <w:rsid w:val="003232ED"/>
    <w:rsid w:val="00323BDD"/>
    <w:rsid w:val="003262FC"/>
    <w:rsid w:val="00330261"/>
    <w:rsid w:val="003378F6"/>
    <w:rsid w:val="00342E7F"/>
    <w:rsid w:val="00343941"/>
    <w:rsid w:val="00347673"/>
    <w:rsid w:val="003574F5"/>
    <w:rsid w:val="00357E25"/>
    <w:rsid w:val="00362824"/>
    <w:rsid w:val="0036314B"/>
    <w:rsid w:val="00364564"/>
    <w:rsid w:val="003670BA"/>
    <w:rsid w:val="0037116F"/>
    <w:rsid w:val="003717BC"/>
    <w:rsid w:val="00383591"/>
    <w:rsid w:val="003861D9"/>
    <w:rsid w:val="0038633F"/>
    <w:rsid w:val="00386E96"/>
    <w:rsid w:val="0038796E"/>
    <w:rsid w:val="0039147E"/>
    <w:rsid w:val="00392738"/>
    <w:rsid w:val="0039347D"/>
    <w:rsid w:val="00393562"/>
    <w:rsid w:val="00394062"/>
    <w:rsid w:val="003947E7"/>
    <w:rsid w:val="00397073"/>
    <w:rsid w:val="003A4357"/>
    <w:rsid w:val="003B1B35"/>
    <w:rsid w:val="003B2B24"/>
    <w:rsid w:val="003C1515"/>
    <w:rsid w:val="003C7D2E"/>
    <w:rsid w:val="003D16FB"/>
    <w:rsid w:val="003D6CAD"/>
    <w:rsid w:val="003E1345"/>
    <w:rsid w:val="003E6CB9"/>
    <w:rsid w:val="003E782D"/>
    <w:rsid w:val="003F19F0"/>
    <w:rsid w:val="0040360C"/>
    <w:rsid w:val="004108A4"/>
    <w:rsid w:val="00416FA7"/>
    <w:rsid w:val="00423B55"/>
    <w:rsid w:val="00424124"/>
    <w:rsid w:val="00433998"/>
    <w:rsid w:val="0043533D"/>
    <w:rsid w:val="00452ED8"/>
    <w:rsid w:val="0045494F"/>
    <w:rsid w:val="004567DF"/>
    <w:rsid w:val="00456D0A"/>
    <w:rsid w:val="00472630"/>
    <w:rsid w:val="00473883"/>
    <w:rsid w:val="00476D80"/>
    <w:rsid w:val="004850B4"/>
    <w:rsid w:val="004901C2"/>
    <w:rsid w:val="004957E5"/>
    <w:rsid w:val="004C21CC"/>
    <w:rsid w:val="004C33D1"/>
    <w:rsid w:val="004C49B2"/>
    <w:rsid w:val="004D031B"/>
    <w:rsid w:val="004D2BF3"/>
    <w:rsid w:val="004D5EDB"/>
    <w:rsid w:val="004E083B"/>
    <w:rsid w:val="004E1482"/>
    <w:rsid w:val="004E69A4"/>
    <w:rsid w:val="004E6C3D"/>
    <w:rsid w:val="004E71E7"/>
    <w:rsid w:val="004F00C7"/>
    <w:rsid w:val="004F34C4"/>
    <w:rsid w:val="004F3BBC"/>
    <w:rsid w:val="004F4A09"/>
    <w:rsid w:val="004F7E9D"/>
    <w:rsid w:val="00500794"/>
    <w:rsid w:val="005007D2"/>
    <w:rsid w:val="0050120C"/>
    <w:rsid w:val="00502217"/>
    <w:rsid w:val="00502BBF"/>
    <w:rsid w:val="00502F09"/>
    <w:rsid w:val="00503CD9"/>
    <w:rsid w:val="005046CD"/>
    <w:rsid w:val="00505437"/>
    <w:rsid w:val="005070DB"/>
    <w:rsid w:val="00513F0F"/>
    <w:rsid w:val="00517ADA"/>
    <w:rsid w:val="005321D2"/>
    <w:rsid w:val="0054091F"/>
    <w:rsid w:val="0054183B"/>
    <w:rsid w:val="005462B4"/>
    <w:rsid w:val="0054791D"/>
    <w:rsid w:val="00551429"/>
    <w:rsid w:val="00553C32"/>
    <w:rsid w:val="0056183E"/>
    <w:rsid w:val="005639EC"/>
    <w:rsid w:val="00565A69"/>
    <w:rsid w:val="00571687"/>
    <w:rsid w:val="00572F15"/>
    <w:rsid w:val="00573F7A"/>
    <w:rsid w:val="00584BF4"/>
    <w:rsid w:val="00584D96"/>
    <w:rsid w:val="00590ADB"/>
    <w:rsid w:val="005A1676"/>
    <w:rsid w:val="005A21DC"/>
    <w:rsid w:val="005B35A2"/>
    <w:rsid w:val="005B4F80"/>
    <w:rsid w:val="005B5E3C"/>
    <w:rsid w:val="005D41DD"/>
    <w:rsid w:val="005F776D"/>
    <w:rsid w:val="0060359F"/>
    <w:rsid w:val="00604519"/>
    <w:rsid w:val="0061336A"/>
    <w:rsid w:val="006309DE"/>
    <w:rsid w:val="00632BDC"/>
    <w:rsid w:val="006378A6"/>
    <w:rsid w:val="0064390B"/>
    <w:rsid w:val="00650FF6"/>
    <w:rsid w:val="00654DDA"/>
    <w:rsid w:val="00663C6D"/>
    <w:rsid w:val="006714ED"/>
    <w:rsid w:val="006738B9"/>
    <w:rsid w:val="00674F9C"/>
    <w:rsid w:val="006751D2"/>
    <w:rsid w:val="006770CA"/>
    <w:rsid w:val="00686C3A"/>
    <w:rsid w:val="006937B3"/>
    <w:rsid w:val="00697F82"/>
    <w:rsid w:val="006A0598"/>
    <w:rsid w:val="006A66DA"/>
    <w:rsid w:val="006A7394"/>
    <w:rsid w:val="006B2EDA"/>
    <w:rsid w:val="006B59B9"/>
    <w:rsid w:val="006C0EB6"/>
    <w:rsid w:val="006C0F37"/>
    <w:rsid w:val="006D330F"/>
    <w:rsid w:val="006D6080"/>
    <w:rsid w:val="006E1598"/>
    <w:rsid w:val="006E3377"/>
    <w:rsid w:val="006E625F"/>
    <w:rsid w:val="006E7EF4"/>
    <w:rsid w:val="006F5FD0"/>
    <w:rsid w:val="006F7885"/>
    <w:rsid w:val="007046C8"/>
    <w:rsid w:val="00706E7C"/>
    <w:rsid w:val="00710A38"/>
    <w:rsid w:val="007121FB"/>
    <w:rsid w:val="007129D6"/>
    <w:rsid w:val="00712CB3"/>
    <w:rsid w:val="00715755"/>
    <w:rsid w:val="007331E8"/>
    <w:rsid w:val="007471C5"/>
    <w:rsid w:val="00750FF8"/>
    <w:rsid w:val="00753FC2"/>
    <w:rsid w:val="00756AC5"/>
    <w:rsid w:val="00756C38"/>
    <w:rsid w:val="00761673"/>
    <w:rsid w:val="00761893"/>
    <w:rsid w:val="007636D9"/>
    <w:rsid w:val="007653F4"/>
    <w:rsid w:val="00770822"/>
    <w:rsid w:val="00771F97"/>
    <w:rsid w:val="007727F3"/>
    <w:rsid w:val="00773138"/>
    <w:rsid w:val="0078189A"/>
    <w:rsid w:val="007874C8"/>
    <w:rsid w:val="00794A92"/>
    <w:rsid w:val="00796976"/>
    <w:rsid w:val="00796CC5"/>
    <w:rsid w:val="00797A80"/>
    <w:rsid w:val="007A04AC"/>
    <w:rsid w:val="007A4037"/>
    <w:rsid w:val="007A4F1E"/>
    <w:rsid w:val="007A736E"/>
    <w:rsid w:val="007C352C"/>
    <w:rsid w:val="007D51F2"/>
    <w:rsid w:val="007D6292"/>
    <w:rsid w:val="007D6E29"/>
    <w:rsid w:val="007D761E"/>
    <w:rsid w:val="007E3C02"/>
    <w:rsid w:val="007F095B"/>
    <w:rsid w:val="007F26E3"/>
    <w:rsid w:val="007F4F55"/>
    <w:rsid w:val="007F5383"/>
    <w:rsid w:val="007F6AA9"/>
    <w:rsid w:val="008006B4"/>
    <w:rsid w:val="00800827"/>
    <w:rsid w:val="00810582"/>
    <w:rsid w:val="00813A48"/>
    <w:rsid w:val="008152EF"/>
    <w:rsid w:val="008162F6"/>
    <w:rsid w:val="00817182"/>
    <w:rsid w:val="00817895"/>
    <w:rsid w:val="00817B4A"/>
    <w:rsid w:val="008272C0"/>
    <w:rsid w:val="008323D3"/>
    <w:rsid w:val="008351FF"/>
    <w:rsid w:val="00857E5D"/>
    <w:rsid w:val="00862885"/>
    <w:rsid w:val="0087086B"/>
    <w:rsid w:val="00881C2D"/>
    <w:rsid w:val="00894E29"/>
    <w:rsid w:val="0089693D"/>
    <w:rsid w:val="008A1514"/>
    <w:rsid w:val="008A70A5"/>
    <w:rsid w:val="008B0830"/>
    <w:rsid w:val="008B77CD"/>
    <w:rsid w:val="008C3178"/>
    <w:rsid w:val="008C5524"/>
    <w:rsid w:val="008C60DF"/>
    <w:rsid w:val="008C68A0"/>
    <w:rsid w:val="008D1243"/>
    <w:rsid w:val="008D3E45"/>
    <w:rsid w:val="008E2D12"/>
    <w:rsid w:val="008E3C2F"/>
    <w:rsid w:val="008F294D"/>
    <w:rsid w:val="009055F3"/>
    <w:rsid w:val="009066B6"/>
    <w:rsid w:val="00907556"/>
    <w:rsid w:val="00910F3A"/>
    <w:rsid w:val="00913817"/>
    <w:rsid w:val="00925F7F"/>
    <w:rsid w:val="009260B8"/>
    <w:rsid w:val="0092731B"/>
    <w:rsid w:val="009317C0"/>
    <w:rsid w:val="009352F4"/>
    <w:rsid w:val="00937270"/>
    <w:rsid w:val="00940E1D"/>
    <w:rsid w:val="009510CB"/>
    <w:rsid w:val="00952960"/>
    <w:rsid w:val="00954FB8"/>
    <w:rsid w:val="00956BA0"/>
    <w:rsid w:val="009707C4"/>
    <w:rsid w:val="00970A93"/>
    <w:rsid w:val="00970B01"/>
    <w:rsid w:val="00971962"/>
    <w:rsid w:val="00971CC5"/>
    <w:rsid w:val="00980AEA"/>
    <w:rsid w:val="00985AC4"/>
    <w:rsid w:val="00991002"/>
    <w:rsid w:val="00994EA3"/>
    <w:rsid w:val="009A38DE"/>
    <w:rsid w:val="009A7AE9"/>
    <w:rsid w:val="009B06B5"/>
    <w:rsid w:val="009B69BE"/>
    <w:rsid w:val="009D1FA3"/>
    <w:rsid w:val="009D3D51"/>
    <w:rsid w:val="009D3FF9"/>
    <w:rsid w:val="009D5461"/>
    <w:rsid w:val="009D75EC"/>
    <w:rsid w:val="009E38BB"/>
    <w:rsid w:val="009E5BC1"/>
    <w:rsid w:val="009F128B"/>
    <w:rsid w:val="009F5344"/>
    <w:rsid w:val="009F5E1F"/>
    <w:rsid w:val="009F5FB4"/>
    <w:rsid w:val="00A00BD5"/>
    <w:rsid w:val="00A021B5"/>
    <w:rsid w:val="00A02E6B"/>
    <w:rsid w:val="00A03055"/>
    <w:rsid w:val="00A046E7"/>
    <w:rsid w:val="00A04B00"/>
    <w:rsid w:val="00A11931"/>
    <w:rsid w:val="00A171EA"/>
    <w:rsid w:val="00A22177"/>
    <w:rsid w:val="00A236A4"/>
    <w:rsid w:val="00A249B6"/>
    <w:rsid w:val="00A35081"/>
    <w:rsid w:val="00A355B3"/>
    <w:rsid w:val="00A36F1C"/>
    <w:rsid w:val="00A37BBB"/>
    <w:rsid w:val="00A433A6"/>
    <w:rsid w:val="00A43E7A"/>
    <w:rsid w:val="00A46ED3"/>
    <w:rsid w:val="00A504E1"/>
    <w:rsid w:val="00A52F15"/>
    <w:rsid w:val="00A61020"/>
    <w:rsid w:val="00A666EC"/>
    <w:rsid w:val="00A74C6A"/>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D5395"/>
    <w:rsid w:val="00AE04A0"/>
    <w:rsid w:val="00AE1D8D"/>
    <w:rsid w:val="00AE385A"/>
    <w:rsid w:val="00AE4633"/>
    <w:rsid w:val="00AE6A5B"/>
    <w:rsid w:val="00AF0B6B"/>
    <w:rsid w:val="00AF0F9F"/>
    <w:rsid w:val="00AF412E"/>
    <w:rsid w:val="00AF7BB3"/>
    <w:rsid w:val="00B00363"/>
    <w:rsid w:val="00B031AB"/>
    <w:rsid w:val="00B063F9"/>
    <w:rsid w:val="00B06D60"/>
    <w:rsid w:val="00B074A2"/>
    <w:rsid w:val="00B112A1"/>
    <w:rsid w:val="00B134F8"/>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270"/>
    <w:rsid w:val="00B92478"/>
    <w:rsid w:val="00BA0765"/>
    <w:rsid w:val="00BA44A3"/>
    <w:rsid w:val="00BA7C3E"/>
    <w:rsid w:val="00BB2689"/>
    <w:rsid w:val="00BC30E4"/>
    <w:rsid w:val="00BC353E"/>
    <w:rsid w:val="00BD0CAE"/>
    <w:rsid w:val="00BD65BA"/>
    <w:rsid w:val="00BE08EC"/>
    <w:rsid w:val="00BE3544"/>
    <w:rsid w:val="00BE4248"/>
    <w:rsid w:val="00BE595A"/>
    <w:rsid w:val="00BE5F29"/>
    <w:rsid w:val="00BE783C"/>
    <w:rsid w:val="00C00D44"/>
    <w:rsid w:val="00C03AF5"/>
    <w:rsid w:val="00C04FCE"/>
    <w:rsid w:val="00C067C5"/>
    <w:rsid w:val="00C0772E"/>
    <w:rsid w:val="00C14017"/>
    <w:rsid w:val="00C140DE"/>
    <w:rsid w:val="00C147B2"/>
    <w:rsid w:val="00C171B6"/>
    <w:rsid w:val="00C2011B"/>
    <w:rsid w:val="00C2062A"/>
    <w:rsid w:val="00C30183"/>
    <w:rsid w:val="00C310F2"/>
    <w:rsid w:val="00C316FC"/>
    <w:rsid w:val="00C3644F"/>
    <w:rsid w:val="00C36666"/>
    <w:rsid w:val="00C439C8"/>
    <w:rsid w:val="00C43AAC"/>
    <w:rsid w:val="00C460D8"/>
    <w:rsid w:val="00C509B4"/>
    <w:rsid w:val="00C61B8C"/>
    <w:rsid w:val="00C62E2A"/>
    <w:rsid w:val="00C712DE"/>
    <w:rsid w:val="00C836E5"/>
    <w:rsid w:val="00C83C65"/>
    <w:rsid w:val="00C840D0"/>
    <w:rsid w:val="00C867B9"/>
    <w:rsid w:val="00CA3B1B"/>
    <w:rsid w:val="00CB23E3"/>
    <w:rsid w:val="00CB759D"/>
    <w:rsid w:val="00CB7AAE"/>
    <w:rsid w:val="00CC0A41"/>
    <w:rsid w:val="00CC3BA0"/>
    <w:rsid w:val="00CC48C9"/>
    <w:rsid w:val="00CD25CF"/>
    <w:rsid w:val="00CD765A"/>
    <w:rsid w:val="00CE49A1"/>
    <w:rsid w:val="00CF759C"/>
    <w:rsid w:val="00D00216"/>
    <w:rsid w:val="00D0108D"/>
    <w:rsid w:val="00D011CD"/>
    <w:rsid w:val="00D14A9D"/>
    <w:rsid w:val="00D17A30"/>
    <w:rsid w:val="00D225CC"/>
    <w:rsid w:val="00D22682"/>
    <w:rsid w:val="00D23B54"/>
    <w:rsid w:val="00D240C3"/>
    <w:rsid w:val="00D26778"/>
    <w:rsid w:val="00D2786B"/>
    <w:rsid w:val="00D32849"/>
    <w:rsid w:val="00D331ED"/>
    <w:rsid w:val="00D33DD9"/>
    <w:rsid w:val="00D37036"/>
    <w:rsid w:val="00D4059E"/>
    <w:rsid w:val="00D434A7"/>
    <w:rsid w:val="00D46724"/>
    <w:rsid w:val="00D47E0F"/>
    <w:rsid w:val="00D517A4"/>
    <w:rsid w:val="00D51C7E"/>
    <w:rsid w:val="00D549F4"/>
    <w:rsid w:val="00D61EA6"/>
    <w:rsid w:val="00D64101"/>
    <w:rsid w:val="00D731C7"/>
    <w:rsid w:val="00D8773C"/>
    <w:rsid w:val="00D93082"/>
    <w:rsid w:val="00D95B2A"/>
    <w:rsid w:val="00DA0ABA"/>
    <w:rsid w:val="00DA4557"/>
    <w:rsid w:val="00DC0253"/>
    <w:rsid w:val="00DC4F70"/>
    <w:rsid w:val="00DC753D"/>
    <w:rsid w:val="00DD0CD4"/>
    <w:rsid w:val="00DF04F0"/>
    <w:rsid w:val="00DF56BB"/>
    <w:rsid w:val="00E07062"/>
    <w:rsid w:val="00E12D50"/>
    <w:rsid w:val="00E147D3"/>
    <w:rsid w:val="00E1782A"/>
    <w:rsid w:val="00E21BC3"/>
    <w:rsid w:val="00E232EA"/>
    <w:rsid w:val="00E236AF"/>
    <w:rsid w:val="00E23A94"/>
    <w:rsid w:val="00E30BB5"/>
    <w:rsid w:val="00E31447"/>
    <w:rsid w:val="00E422A2"/>
    <w:rsid w:val="00E5220B"/>
    <w:rsid w:val="00E54619"/>
    <w:rsid w:val="00E5482B"/>
    <w:rsid w:val="00E6172B"/>
    <w:rsid w:val="00E652D6"/>
    <w:rsid w:val="00E66A55"/>
    <w:rsid w:val="00E713DA"/>
    <w:rsid w:val="00E7186A"/>
    <w:rsid w:val="00E813B7"/>
    <w:rsid w:val="00E81EBC"/>
    <w:rsid w:val="00E82874"/>
    <w:rsid w:val="00E845AC"/>
    <w:rsid w:val="00E867FC"/>
    <w:rsid w:val="00E9047D"/>
    <w:rsid w:val="00EA399C"/>
    <w:rsid w:val="00EB4C19"/>
    <w:rsid w:val="00EB6CCB"/>
    <w:rsid w:val="00EC2C28"/>
    <w:rsid w:val="00EC7EB7"/>
    <w:rsid w:val="00ED5FA0"/>
    <w:rsid w:val="00EE0A07"/>
    <w:rsid w:val="00EE6E92"/>
    <w:rsid w:val="00EF03C9"/>
    <w:rsid w:val="00EF0A8C"/>
    <w:rsid w:val="00EF6A28"/>
    <w:rsid w:val="00EF6FBF"/>
    <w:rsid w:val="00F005E4"/>
    <w:rsid w:val="00F006DD"/>
    <w:rsid w:val="00F014D9"/>
    <w:rsid w:val="00F05BF1"/>
    <w:rsid w:val="00F07EE2"/>
    <w:rsid w:val="00F1778E"/>
    <w:rsid w:val="00F17A90"/>
    <w:rsid w:val="00F233FF"/>
    <w:rsid w:val="00F27C45"/>
    <w:rsid w:val="00F33C45"/>
    <w:rsid w:val="00F35A08"/>
    <w:rsid w:val="00F40BAD"/>
    <w:rsid w:val="00F46873"/>
    <w:rsid w:val="00F4786D"/>
    <w:rsid w:val="00F504CC"/>
    <w:rsid w:val="00F50E8B"/>
    <w:rsid w:val="00F54605"/>
    <w:rsid w:val="00F60220"/>
    <w:rsid w:val="00F71D80"/>
    <w:rsid w:val="00F76A3F"/>
    <w:rsid w:val="00F76DFC"/>
    <w:rsid w:val="00F77C8A"/>
    <w:rsid w:val="00F9055E"/>
    <w:rsid w:val="00F91683"/>
    <w:rsid w:val="00FA17FC"/>
    <w:rsid w:val="00FA335B"/>
    <w:rsid w:val="00FB17AC"/>
    <w:rsid w:val="00FC622D"/>
    <w:rsid w:val="00FD6C80"/>
    <w:rsid w:val="00FD7C42"/>
    <w:rsid w:val="00FE4D9A"/>
    <w:rsid w:val="00FE4E4B"/>
    <w:rsid w:val="00FE62A5"/>
    <w:rsid w:val="00FE6A9C"/>
    <w:rsid w:val="00FE6CB8"/>
    <w:rsid w:val="00FF1872"/>
    <w:rsid w:val="01FF24CA"/>
    <w:rsid w:val="063A6427"/>
    <w:rsid w:val="2B82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CE6A167"/>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1">
    <w:name w:val="heading 1"/>
    <w:basedOn w:val="Normal"/>
    <w:next w:val="Normal"/>
    <w:link w:val="Heading1Char"/>
    <w:qFormat/>
    <w:rsid w:val="00383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paragraph" w:styleId="NormalWeb">
    <w:name w:val="Normal (Web)"/>
    <w:basedOn w:val="Normal"/>
    <w:uiPriority w:val="99"/>
    <w:unhideWhenUsed/>
    <w:rsid w:val="00A355B3"/>
    <w:pPr>
      <w:widowControl/>
      <w:spacing w:beforeAutospacing="1" w:afterAutospacing="1"/>
    </w:pPr>
    <w:rPr>
      <w:snapToGrid/>
      <w:szCs w:val="24"/>
    </w:rPr>
  </w:style>
  <w:style w:type="character" w:customStyle="1" w:styleId="Heading1Char">
    <w:name w:val="Heading 1 Char"/>
    <w:basedOn w:val="DefaultParagraphFont"/>
    <w:link w:val="Heading1"/>
    <w:rsid w:val="00383591"/>
    <w:rPr>
      <w:rFonts w:asciiTheme="majorHAnsi" w:eastAsiaTheme="majorEastAsia" w:hAnsiTheme="majorHAnsi" w:cstheme="majorBidi"/>
      <w:snapToGrid w:val="0"/>
      <w:color w:val="2E74B5" w:themeColor="accent1" w:themeShade="BF"/>
      <w:sz w:val="32"/>
      <w:szCs w:val="32"/>
      <w:lang w:val="en-US" w:eastAsia="en-US"/>
    </w:rPr>
  </w:style>
  <w:style w:type="table" w:styleId="TableGrid">
    <w:name w:val="Table Grid"/>
    <w:basedOn w:val="TableNormal"/>
    <w:uiPriority w:val="59"/>
    <w:rsid w:val="00797A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0D5AF9"/>
    <w:rPr>
      <w:snapToGrid w:val="0"/>
      <w:lang w:val="en-US" w:eastAsia="en-US"/>
    </w:rPr>
  </w:style>
  <w:style w:type="character" w:customStyle="1" w:styleId="normaltextrun">
    <w:name w:val="normaltextrun"/>
    <w:rsid w:val="000D5AF9"/>
  </w:style>
  <w:style w:type="paragraph" w:customStyle="1" w:styleId="paragraph">
    <w:name w:val="paragraph"/>
    <w:basedOn w:val="Normal"/>
    <w:rsid w:val="000D5AF9"/>
    <w:pPr>
      <w:widowControl/>
      <w:spacing w:beforeAutospacing="1" w:afterAutospacing="1"/>
    </w:pPr>
    <w:rPr>
      <w:snapToGrid/>
      <w:szCs w:val="24"/>
      <w:lang w:val="fr-BE" w:eastAsia="fr-BE"/>
    </w:rPr>
  </w:style>
  <w:style w:type="character" w:customStyle="1" w:styleId="highlight">
    <w:name w:val="highlight"/>
    <w:rsid w:val="000D5A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4282">
      <w:bodyDiv w:val="1"/>
      <w:marLeft w:val="0"/>
      <w:marRight w:val="0"/>
      <w:marTop w:val="0"/>
      <w:marBottom w:val="0"/>
      <w:divBdr>
        <w:top w:val="none" w:sz="0" w:space="0" w:color="auto"/>
        <w:left w:val="none" w:sz="0" w:space="0" w:color="auto"/>
        <w:bottom w:val="none" w:sz="0" w:space="0" w:color="auto"/>
        <w:right w:val="none" w:sz="0" w:space="0" w:color="auto"/>
      </w:divBdr>
    </w:div>
    <w:div w:id="172380402">
      <w:bodyDiv w:val="1"/>
      <w:marLeft w:val="0"/>
      <w:marRight w:val="0"/>
      <w:marTop w:val="0"/>
      <w:marBottom w:val="0"/>
      <w:divBdr>
        <w:top w:val="none" w:sz="0" w:space="0" w:color="auto"/>
        <w:left w:val="none" w:sz="0" w:space="0" w:color="auto"/>
        <w:bottom w:val="none" w:sz="0" w:space="0" w:color="auto"/>
        <w:right w:val="none" w:sz="0" w:space="0" w:color="auto"/>
      </w:divBdr>
    </w:div>
    <w:div w:id="192499843">
      <w:bodyDiv w:val="1"/>
      <w:marLeft w:val="0"/>
      <w:marRight w:val="0"/>
      <w:marTop w:val="0"/>
      <w:marBottom w:val="0"/>
      <w:divBdr>
        <w:top w:val="none" w:sz="0" w:space="0" w:color="auto"/>
        <w:left w:val="none" w:sz="0" w:space="0" w:color="auto"/>
        <w:bottom w:val="none" w:sz="0" w:space="0" w:color="auto"/>
        <w:right w:val="none" w:sz="0" w:space="0" w:color="auto"/>
      </w:divBdr>
    </w:div>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396755660">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803891683">
      <w:bodyDiv w:val="1"/>
      <w:marLeft w:val="0"/>
      <w:marRight w:val="0"/>
      <w:marTop w:val="0"/>
      <w:marBottom w:val="0"/>
      <w:divBdr>
        <w:top w:val="none" w:sz="0" w:space="0" w:color="auto"/>
        <w:left w:val="none" w:sz="0" w:space="0" w:color="auto"/>
        <w:bottom w:val="none" w:sz="0" w:space="0" w:color="auto"/>
        <w:right w:val="none" w:sz="0" w:space="0" w:color="auto"/>
      </w:divBdr>
    </w:div>
    <w:div w:id="829516878">
      <w:bodyDiv w:val="1"/>
      <w:marLeft w:val="0"/>
      <w:marRight w:val="0"/>
      <w:marTop w:val="0"/>
      <w:marBottom w:val="0"/>
      <w:divBdr>
        <w:top w:val="none" w:sz="0" w:space="0" w:color="auto"/>
        <w:left w:val="none" w:sz="0" w:space="0" w:color="auto"/>
        <w:bottom w:val="none" w:sz="0" w:space="0" w:color="auto"/>
        <w:right w:val="none" w:sz="0" w:space="0" w:color="auto"/>
      </w:divBdr>
    </w:div>
    <w:div w:id="906649919">
      <w:bodyDiv w:val="1"/>
      <w:marLeft w:val="0"/>
      <w:marRight w:val="0"/>
      <w:marTop w:val="0"/>
      <w:marBottom w:val="0"/>
      <w:divBdr>
        <w:top w:val="none" w:sz="0" w:space="0" w:color="auto"/>
        <w:left w:val="none" w:sz="0" w:space="0" w:color="auto"/>
        <w:bottom w:val="none" w:sz="0" w:space="0" w:color="auto"/>
        <w:right w:val="none" w:sz="0" w:space="0" w:color="auto"/>
      </w:divBdr>
    </w:div>
    <w:div w:id="1034236010">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25468276">
      <w:bodyDiv w:val="1"/>
      <w:marLeft w:val="0"/>
      <w:marRight w:val="0"/>
      <w:marTop w:val="0"/>
      <w:marBottom w:val="0"/>
      <w:divBdr>
        <w:top w:val="none" w:sz="0" w:space="0" w:color="auto"/>
        <w:left w:val="none" w:sz="0" w:space="0" w:color="auto"/>
        <w:bottom w:val="none" w:sz="0" w:space="0" w:color="auto"/>
        <w:right w:val="none" w:sz="0" w:space="0" w:color="auto"/>
      </w:divBdr>
    </w:div>
    <w:div w:id="1135443273">
      <w:bodyDiv w:val="1"/>
      <w:marLeft w:val="0"/>
      <w:marRight w:val="0"/>
      <w:marTop w:val="0"/>
      <w:marBottom w:val="0"/>
      <w:divBdr>
        <w:top w:val="none" w:sz="0" w:space="0" w:color="auto"/>
        <w:left w:val="none" w:sz="0" w:space="0" w:color="auto"/>
        <w:bottom w:val="none" w:sz="0" w:space="0" w:color="auto"/>
        <w:right w:val="none" w:sz="0" w:space="0" w:color="auto"/>
      </w:divBdr>
    </w:div>
    <w:div w:id="1205941112">
      <w:bodyDiv w:val="1"/>
      <w:marLeft w:val="0"/>
      <w:marRight w:val="0"/>
      <w:marTop w:val="0"/>
      <w:marBottom w:val="0"/>
      <w:divBdr>
        <w:top w:val="none" w:sz="0" w:space="0" w:color="auto"/>
        <w:left w:val="none" w:sz="0" w:space="0" w:color="auto"/>
        <w:bottom w:val="none" w:sz="0" w:space="0" w:color="auto"/>
        <w:right w:val="none" w:sz="0" w:space="0" w:color="auto"/>
      </w:divBdr>
    </w:div>
    <w:div w:id="1362978941">
      <w:bodyDiv w:val="1"/>
      <w:marLeft w:val="0"/>
      <w:marRight w:val="0"/>
      <w:marTop w:val="0"/>
      <w:marBottom w:val="0"/>
      <w:divBdr>
        <w:top w:val="none" w:sz="0" w:space="0" w:color="auto"/>
        <w:left w:val="none" w:sz="0" w:space="0" w:color="auto"/>
        <w:bottom w:val="none" w:sz="0" w:space="0" w:color="auto"/>
        <w:right w:val="none" w:sz="0" w:space="0" w:color="auto"/>
      </w:divBdr>
    </w:div>
    <w:div w:id="1907915675">
      <w:bodyDiv w:val="1"/>
      <w:marLeft w:val="0"/>
      <w:marRight w:val="0"/>
      <w:marTop w:val="0"/>
      <w:marBottom w:val="0"/>
      <w:divBdr>
        <w:top w:val="none" w:sz="0" w:space="0" w:color="auto"/>
        <w:left w:val="none" w:sz="0" w:space="0" w:color="auto"/>
        <w:bottom w:val="none" w:sz="0" w:space="0" w:color="auto"/>
        <w:right w:val="none" w:sz="0" w:space="0" w:color="auto"/>
      </w:divBdr>
    </w:div>
    <w:div w:id="1922055824">
      <w:bodyDiv w:val="1"/>
      <w:marLeft w:val="0"/>
      <w:marRight w:val="0"/>
      <w:marTop w:val="0"/>
      <w:marBottom w:val="0"/>
      <w:divBdr>
        <w:top w:val="none" w:sz="0" w:space="0" w:color="auto"/>
        <w:left w:val="none" w:sz="0" w:space="0" w:color="auto"/>
        <w:bottom w:val="none" w:sz="0" w:space="0" w:color="auto"/>
        <w:right w:val="none" w:sz="0" w:space="0" w:color="auto"/>
      </w:divBdr>
    </w:div>
    <w:div w:id="20771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4539-E30A-4392-9A4E-FF0E7F94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2506</Words>
  <Characters>14062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Ljupco Sosolovski</cp:lastModifiedBy>
  <cp:revision>107</cp:revision>
  <cp:lastPrinted>2016-05-31T08:36:00Z</cp:lastPrinted>
  <dcterms:created xsi:type="dcterms:W3CDTF">2022-04-14T14:35:00Z</dcterms:created>
  <dcterms:modified xsi:type="dcterms:W3CDTF">2022-11-01T22:13:00Z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