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0EFC" w14:textId="77777777"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14:paraId="22DF9D0F" w14:textId="4D4EBB6D"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2F0817" w:rsidRPr="00EA27C1">
        <w:rPr>
          <w:lang w:val="en-GB"/>
        </w:rPr>
        <w:t>PREVEN-T – CN2 – SO2.4 – SC049</w:t>
      </w:r>
    </w:p>
    <w:p w14:paraId="7799152C" w14:textId="77777777"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14:paraId="46CE3930" w14:textId="77777777"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48CAC36F" w14:textId="77777777" w:rsidR="0047783A" w:rsidRPr="00E82463" w:rsidRDefault="0047783A" w:rsidP="00A4424B">
      <w:pPr>
        <w:pStyle w:val="Heading1"/>
      </w:pPr>
      <w:bookmarkStart w:id="1" w:name="_Toc42488070"/>
      <w:proofErr w:type="gramStart"/>
      <w:r w:rsidRPr="00E82463">
        <w:t>Supplies</w:t>
      </w:r>
      <w:proofErr w:type="gramEnd"/>
      <w:r w:rsidRPr="00E82463">
        <w:t xml:space="preserve"> to </w:t>
      </w:r>
      <w:proofErr w:type="spellStart"/>
      <w:r w:rsidRPr="00E82463">
        <w:t>be</w:t>
      </w:r>
      <w:proofErr w:type="spellEnd"/>
      <w:r w:rsidRPr="00E82463">
        <w:t xml:space="preserve"> </w:t>
      </w:r>
      <w:proofErr w:type="spellStart"/>
      <w:r w:rsidRPr="00E82463">
        <w:t>provided</w:t>
      </w:r>
      <w:bookmarkEnd w:id="1"/>
      <w:proofErr w:type="spellEnd"/>
    </w:p>
    <w:p w14:paraId="695C813E" w14:textId="2A187F88" w:rsidR="00C7322E" w:rsidRPr="00DB02BF" w:rsidRDefault="0047783A" w:rsidP="00DB02BF">
      <w:pPr>
        <w:pStyle w:val="Heading2"/>
        <w:keepNext w:val="0"/>
        <w:ind w:left="567" w:hanging="567"/>
        <w:jc w:val="both"/>
        <w:rPr>
          <w:rFonts w:ascii="Times New Roman" w:hAnsi="Times New Roman"/>
          <w:lang w:val="en-GB"/>
        </w:rPr>
      </w:pPr>
      <w:r w:rsidRPr="00E82463">
        <w:rPr>
          <w:rFonts w:ascii="Times New Roman" w:hAnsi="Times New Roman"/>
          <w:sz w:val="22"/>
          <w:lang w:val="en-GB"/>
        </w:rPr>
        <w:t>The subject of the contract is</w:t>
      </w:r>
      <w:r w:rsidR="006C7C65">
        <w:rPr>
          <w:rFonts w:ascii="Times New Roman" w:hAnsi="Times New Roman"/>
          <w:sz w:val="22"/>
          <w:lang w:val="en-GB"/>
        </w:rPr>
        <w:t xml:space="preserve"> </w:t>
      </w:r>
      <w:r w:rsidR="00C7322E" w:rsidRPr="00BC5571">
        <w:rPr>
          <w:rFonts w:ascii="Times New Roman" w:hAnsi="Times New Roman"/>
          <w:sz w:val="22"/>
        </w:rPr>
        <w:t xml:space="preserve">the </w:t>
      </w:r>
      <w:proofErr w:type="spellStart"/>
      <w:r w:rsidR="00C7322E" w:rsidRPr="00BC5571">
        <w:rPr>
          <w:rFonts w:ascii="Times New Roman" w:hAnsi="Times New Roman"/>
          <w:sz w:val="22"/>
        </w:rPr>
        <w:t>supply</w:t>
      </w:r>
      <w:proofErr w:type="spellEnd"/>
      <w:r w:rsidR="006C7C65" w:rsidRPr="00BC5571">
        <w:rPr>
          <w:rFonts w:ascii="Times New Roman" w:hAnsi="Times New Roman"/>
          <w:sz w:val="22"/>
        </w:rPr>
        <w:t xml:space="preserve"> </w:t>
      </w:r>
      <w:r w:rsidR="00DB02BF" w:rsidRPr="00654BFA">
        <w:rPr>
          <w:rFonts w:ascii="Times New Roman" w:hAnsi="Times New Roman"/>
          <w:sz w:val="22"/>
          <w:lang w:val="en-GB"/>
        </w:rPr>
        <w:t>and delivery</w:t>
      </w:r>
      <w:r w:rsidR="00DB02BF">
        <w:rPr>
          <w:rFonts w:ascii="Times New Roman" w:hAnsi="Times New Roman"/>
          <w:sz w:val="22"/>
          <w:lang w:val="en-GB"/>
        </w:rPr>
        <w:t xml:space="preserve"> </w:t>
      </w:r>
      <w:r w:rsidR="00DB02BF" w:rsidRPr="00E82463">
        <w:rPr>
          <w:rFonts w:ascii="Times New Roman" w:hAnsi="Times New Roman"/>
          <w:sz w:val="22"/>
          <w:lang w:val="en-GB"/>
        </w:rPr>
        <w:t xml:space="preserve">by the Contractor </w:t>
      </w:r>
      <w:r w:rsidR="00C7322E" w:rsidRPr="00BC5571">
        <w:rPr>
          <w:rFonts w:ascii="Times New Roman" w:hAnsi="Times New Roman"/>
          <w:sz w:val="22"/>
        </w:rPr>
        <w:t>of</w:t>
      </w:r>
      <w:r w:rsidR="00C7322E" w:rsidRPr="004F1F8C">
        <w:rPr>
          <w:rFonts w:ascii="Times New Roman" w:hAnsi="Times New Roman"/>
          <w:sz w:val="22"/>
        </w:rPr>
        <w:t xml:space="preserve"> </w:t>
      </w:r>
      <w:r w:rsidR="00335103">
        <w:rPr>
          <w:rFonts w:ascii="Times New Roman" w:hAnsi="Times New Roman"/>
          <w:sz w:val="22"/>
        </w:rPr>
        <w:t xml:space="preserve">1 (one) terrain </w:t>
      </w:r>
      <w:proofErr w:type="spellStart"/>
      <w:r w:rsidR="00335103">
        <w:rPr>
          <w:rFonts w:ascii="Times New Roman" w:hAnsi="Times New Roman"/>
          <w:sz w:val="22"/>
        </w:rPr>
        <w:t>vehicle</w:t>
      </w:r>
      <w:proofErr w:type="spellEnd"/>
      <w:r w:rsidR="00335103">
        <w:rPr>
          <w:rFonts w:ascii="Times New Roman" w:hAnsi="Times New Roman"/>
          <w:sz w:val="22"/>
        </w:rPr>
        <w:t>.</w:t>
      </w:r>
    </w:p>
    <w:p w14:paraId="3746446E" w14:textId="5D7C509D" w:rsidR="0047783A" w:rsidRPr="001220D1" w:rsidRDefault="00E82463" w:rsidP="001220D1">
      <w:pPr>
        <w:pStyle w:val="Heading2"/>
        <w:keepNext w:val="0"/>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1.2</w:t>
      </w:r>
      <w:r w:rsidR="0047783A" w:rsidRPr="00E82463">
        <w:rPr>
          <w:rFonts w:ascii="Times New Roman" w:hAnsi="Times New Roman"/>
          <w:sz w:val="22"/>
          <w:lang w:val="en-GB"/>
        </w:rPr>
        <w:tab/>
        <w:t>The suppl</w:t>
      </w:r>
      <w:r w:rsidR="00A1431F">
        <w:rPr>
          <w:rFonts w:ascii="Times New Roman" w:hAnsi="Times New Roman"/>
          <w:sz w:val="22"/>
          <w:lang w:val="en-GB"/>
        </w:rPr>
        <w:t>y</w:t>
      </w:r>
      <w:r w:rsidR="0047783A" w:rsidRPr="00E82463">
        <w:rPr>
          <w:rFonts w:ascii="Times New Roman" w:hAnsi="Times New Roman"/>
          <w:sz w:val="22"/>
          <w:lang w:val="en-GB"/>
        </w:rPr>
        <w:t xml:space="preserve"> must comply fully with the technical specifications set out in the tender dossier (technical annex)</w:t>
      </w:r>
      <w:bookmarkEnd w:id="2"/>
      <w:bookmarkEnd w:id="3"/>
      <w:r w:rsidR="00417C84">
        <w:rPr>
          <w:rFonts w:ascii="Times New Roman" w:hAnsi="Times New Roman"/>
          <w:sz w:val="22"/>
          <w:lang w:val="en-GB"/>
        </w:rPr>
        <w:t>.</w:t>
      </w:r>
    </w:p>
    <w:p w14:paraId="1DBC04B5" w14:textId="16CBA6AA" w:rsidR="0047783A"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1.</w:t>
      </w:r>
      <w:r w:rsidR="001220D1">
        <w:rPr>
          <w:rFonts w:ascii="Times New Roman" w:hAnsi="Times New Roman"/>
          <w:sz w:val="22"/>
          <w:lang w:val="en-GB"/>
        </w:rPr>
        <w:t>3</w:t>
      </w:r>
      <w:r w:rsidRPr="00E82463">
        <w:rPr>
          <w:rFonts w:ascii="Times New Roman" w:hAnsi="Times New Roman"/>
          <w:sz w:val="22"/>
          <w:lang w:val="en-GB"/>
        </w:rPr>
        <w:t xml:space="preserve">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p>
    <w:p w14:paraId="510D57F0" w14:textId="77777777" w:rsidR="0047783A" w:rsidRPr="00E82463" w:rsidRDefault="0047783A" w:rsidP="00A4424B">
      <w:pPr>
        <w:pStyle w:val="Heading1"/>
      </w:pPr>
      <w:bookmarkStart w:id="4" w:name="_Toc42488071"/>
      <w:proofErr w:type="spellStart"/>
      <w:r w:rsidRPr="00E82463">
        <w:t>Timetable</w:t>
      </w:r>
      <w:bookmarkEnd w:id="4"/>
      <w:proofErr w:type="spellEnd"/>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76CFCE26" w14:textId="77777777" w:rsidTr="00A4424B">
        <w:tc>
          <w:tcPr>
            <w:tcW w:w="3969" w:type="dxa"/>
            <w:tcBorders>
              <w:bottom w:val="nil"/>
            </w:tcBorders>
          </w:tcPr>
          <w:p w14:paraId="07F37745" w14:textId="77777777" w:rsidR="0047783A" w:rsidRPr="00E82463" w:rsidRDefault="0047783A">
            <w:pPr>
              <w:keepNext/>
              <w:jc w:val="both"/>
              <w:rPr>
                <w:rFonts w:ascii="Times New Roman" w:hAnsi="Times New Roman"/>
              </w:rPr>
            </w:pPr>
          </w:p>
        </w:tc>
        <w:tc>
          <w:tcPr>
            <w:tcW w:w="2410" w:type="dxa"/>
            <w:shd w:val="pct10" w:color="auto" w:fill="FFFFFF"/>
          </w:tcPr>
          <w:p w14:paraId="223346D1"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243094F9" w14:textId="77777777"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14:paraId="2B33EF56" w14:textId="77777777" w:rsidTr="00A4424B">
        <w:tc>
          <w:tcPr>
            <w:tcW w:w="3969" w:type="dxa"/>
            <w:shd w:val="pct10" w:color="auto" w:fill="FFFFFF"/>
          </w:tcPr>
          <w:p w14:paraId="1D2482C4" w14:textId="77777777"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14:paraId="1CB94F87" w14:textId="1CB447A0" w:rsidR="0047783A" w:rsidRPr="00E82463" w:rsidRDefault="00DA4D57" w:rsidP="00A4424B">
            <w:pPr>
              <w:jc w:val="center"/>
              <w:rPr>
                <w:rFonts w:ascii="Times New Roman" w:hAnsi="Times New Roman"/>
                <w:sz w:val="22"/>
              </w:rPr>
            </w:pPr>
            <w:r>
              <w:rPr>
                <w:rFonts w:ascii="Times New Roman" w:hAnsi="Times New Roman"/>
                <w:sz w:val="22"/>
              </w:rPr>
              <w:t xml:space="preserve"> [</w:t>
            </w:r>
            <w:r w:rsidR="0047783A">
              <w:rPr>
                <w:rFonts w:ascii="Times New Roman" w:hAnsi="Times New Roman"/>
                <w:sz w:val="22"/>
                <w:highlight w:val="lightGray"/>
              </w:rPr>
              <w:t>Not applicable</w:t>
            </w:r>
            <w:r>
              <w:rPr>
                <w:rFonts w:ascii="Times New Roman" w:hAnsi="Times New Roman"/>
                <w:sz w:val="22"/>
              </w:rPr>
              <w:t>]</w:t>
            </w:r>
          </w:p>
        </w:tc>
        <w:tc>
          <w:tcPr>
            <w:tcW w:w="2268" w:type="dxa"/>
          </w:tcPr>
          <w:p w14:paraId="0C2CBBF9" w14:textId="2D2238E9" w:rsidR="0047783A" w:rsidRPr="00E82463" w:rsidRDefault="00DA4D57" w:rsidP="00A4424B">
            <w:pPr>
              <w:jc w:val="center"/>
              <w:rPr>
                <w:rFonts w:ascii="Times New Roman" w:hAnsi="Times New Roman"/>
                <w:sz w:val="22"/>
              </w:rPr>
            </w:pPr>
            <w:r>
              <w:rPr>
                <w:rFonts w:ascii="Times New Roman" w:hAnsi="Times New Roman"/>
                <w:sz w:val="22"/>
              </w:rPr>
              <w:t xml:space="preserve"> [</w:t>
            </w:r>
            <w:r>
              <w:rPr>
                <w:rFonts w:ascii="Times New Roman" w:hAnsi="Times New Roman"/>
                <w:sz w:val="22"/>
                <w:highlight w:val="lightGray"/>
              </w:rPr>
              <w:t>Not applicable</w:t>
            </w:r>
            <w:r>
              <w:rPr>
                <w:rFonts w:ascii="Times New Roman" w:hAnsi="Times New Roman"/>
                <w:sz w:val="22"/>
              </w:rPr>
              <w:t>]</w:t>
            </w:r>
          </w:p>
        </w:tc>
      </w:tr>
      <w:tr w:rsidR="0047783A" w:rsidRPr="00E82463" w14:paraId="4BB3821C" w14:textId="77777777" w:rsidTr="00A4424B">
        <w:tc>
          <w:tcPr>
            <w:tcW w:w="3969" w:type="dxa"/>
            <w:shd w:val="pct10" w:color="auto" w:fill="FFFFFF"/>
          </w:tcPr>
          <w:p w14:paraId="027192B5" w14:textId="77777777" w:rsidR="0047783A" w:rsidRPr="00E82463" w:rsidRDefault="0047783A" w:rsidP="006E4A76">
            <w:pPr>
              <w:keepNext/>
              <w:rPr>
                <w:rFonts w:ascii="Times New Roman" w:hAnsi="Times New Roman"/>
                <w:b/>
                <w:sz w:val="22"/>
              </w:rPr>
            </w:pPr>
            <w:r w:rsidRPr="00E82463">
              <w:rPr>
                <w:rFonts w:ascii="Times New Roman" w:hAnsi="Times New Roman"/>
                <w:b/>
                <w:sz w:val="22"/>
              </w:rPr>
              <w:t>Deadline for request</w:t>
            </w:r>
            <w:r w:rsidR="00335E06" w:rsidRPr="00E82463">
              <w:rPr>
                <w:rFonts w:ascii="Times New Roman" w:hAnsi="Times New Roman"/>
                <w:b/>
                <w:sz w:val="22"/>
              </w:rPr>
              <w:t>ing</w:t>
            </w:r>
            <w:r w:rsidRPr="00E82463">
              <w:rPr>
                <w:rFonts w:ascii="Times New Roman" w:hAnsi="Times New Roman"/>
                <w:b/>
                <w:sz w:val="22"/>
              </w:rPr>
              <w:t xml:space="preserve"> clarifications from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14:paraId="5A15E2C6" w14:textId="0594E3CF" w:rsidR="0047783A" w:rsidRPr="00E82463" w:rsidRDefault="0073247B" w:rsidP="001E6F09">
            <w:pPr>
              <w:jc w:val="center"/>
              <w:rPr>
                <w:rFonts w:ascii="Times New Roman" w:hAnsi="Times New Roman"/>
                <w:sz w:val="22"/>
              </w:rPr>
            </w:pPr>
            <w:r>
              <w:rPr>
                <w:rFonts w:ascii="Times New Roman" w:hAnsi="Times New Roman"/>
                <w:sz w:val="22"/>
              </w:rPr>
              <w:t>10</w:t>
            </w:r>
            <w:r w:rsidR="001E6F09">
              <w:rPr>
                <w:rFonts w:ascii="Times New Roman" w:hAnsi="Times New Roman"/>
                <w:sz w:val="22"/>
              </w:rPr>
              <w:t>.0</w:t>
            </w:r>
            <w:r>
              <w:rPr>
                <w:rFonts w:ascii="Times New Roman" w:hAnsi="Times New Roman"/>
                <w:sz w:val="22"/>
              </w:rPr>
              <w:t>5</w:t>
            </w:r>
            <w:r w:rsidR="001E6F09">
              <w:rPr>
                <w:rFonts w:ascii="Times New Roman" w:hAnsi="Times New Roman"/>
                <w:sz w:val="22"/>
              </w:rPr>
              <w:t>.2022</w:t>
            </w:r>
          </w:p>
        </w:tc>
        <w:tc>
          <w:tcPr>
            <w:tcW w:w="2268" w:type="dxa"/>
          </w:tcPr>
          <w:p w14:paraId="14A9A88A" w14:textId="042F05DD" w:rsidR="0047783A" w:rsidRPr="00E82463" w:rsidRDefault="001E6F09" w:rsidP="00A4424B">
            <w:pPr>
              <w:jc w:val="center"/>
              <w:rPr>
                <w:rFonts w:ascii="Times New Roman" w:hAnsi="Times New Roman"/>
                <w:sz w:val="22"/>
              </w:rPr>
            </w:pPr>
            <w:r>
              <w:rPr>
                <w:rFonts w:ascii="Times New Roman" w:hAnsi="Times New Roman"/>
                <w:sz w:val="22"/>
              </w:rPr>
              <w:t>12:00</w:t>
            </w:r>
          </w:p>
        </w:tc>
      </w:tr>
      <w:tr w:rsidR="0047783A" w:rsidRPr="00E82463" w14:paraId="363E64CB" w14:textId="77777777" w:rsidTr="00A4424B">
        <w:tc>
          <w:tcPr>
            <w:tcW w:w="3969" w:type="dxa"/>
            <w:shd w:val="pct10" w:color="auto" w:fill="FFFFFF"/>
          </w:tcPr>
          <w:p w14:paraId="40934D0E" w14:textId="77777777"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14:paraId="6DFFE69A" w14:textId="3FBAE23D" w:rsidR="0047783A" w:rsidRPr="00E82463" w:rsidRDefault="0073247B" w:rsidP="008F5E42">
            <w:pPr>
              <w:jc w:val="center"/>
              <w:rPr>
                <w:rFonts w:ascii="Times New Roman" w:hAnsi="Times New Roman"/>
                <w:sz w:val="22"/>
              </w:rPr>
            </w:pPr>
            <w:r>
              <w:rPr>
                <w:rFonts w:ascii="Times New Roman" w:hAnsi="Times New Roman"/>
                <w:sz w:val="22"/>
              </w:rPr>
              <w:t>1</w:t>
            </w:r>
            <w:r w:rsidR="001E6F09">
              <w:rPr>
                <w:rFonts w:ascii="Times New Roman" w:hAnsi="Times New Roman"/>
                <w:sz w:val="22"/>
              </w:rPr>
              <w:t>2.0</w:t>
            </w:r>
            <w:r>
              <w:rPr>
                <w:rFonts w:ascii="Times New Roman" w:hAnsi="Times New Roman"/>
                <w:sz w:val="22"/>
              </w:rPr>
              <w:t>5</w:t>
            </w:r>
            <w:r w:rsidR="001E6F09">
              <w:rPr>
                <w:rFonts w:ascii="Times New Roman" w:hAnsi="Times New Roman"/>
                <w:sz w:val="22"/>
              </w:rPr>
              <w:t>.2022</w:t>
            </w:r>
          </w:p>
        </w:tc>
        <w:tc>
          <w:tcPr>
            <w:tcW w:w="2268" w:type="dxa"/>
          </w:tcPr>
          <w:p w14:paraId="0D3E9DF4" w14:textId="77777777" w:rsidR="0047783A" w:rsidRPr="00E82463" w:rsidRDefault="0047783A" w:rsidP="00A4424B">
            <w:pPr>
              <w:jc w:val="center"/>
              <w:rPr>
                <w:rFonts w:ascii="Times New Roman" w:hAnsi="Times New Roman"/>
                <w:sz w:val="22"/>
              </w:rPr>
            </w:pPr>
            <w:r w:rsidRPr="00E82463">
              <w:rPr>
                <w:rFonts w:ascii="Times New Roman" w:hAnsi="Times New Roman"/>
                <w:sz w:val="22"/>
              </w:rPr>
              <w:t>-</w:t>
            </w:r>
          </w:p>
        </w:tc>
      </w:tr>
      <w:tr w:rsidR="0047783A" w:rsidRPr="00E82463" w14:paraId="2B822ECB" w14:textId="77777777" w:rsidTr="00A4424B">
        <w:tc>
          <w:tcPr>
            <w:tcW w:w="3969" w:type="dxa"/>
            <w:shd w:val="pct10" w:color="auto" w:fill="FFFFFF"/>
          </w:tcPr>
          <w:p w14:paraId="12ADA0B5" w14:textId="77777777" w:rsidR="0047783A" w:rsidRPr="00E82463" w:rsidRDefault="0047783A">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14:paraId="29FAF4E1" w14:textId="25FCC95B" w:rsidR="0047783A" w:rsidRPr="00E82463" w:rsidRDefault="001E6F09" w:rsidP="008F5E42">
            <w:pPr>
              <w:jc w:val="center"/>
              <w:rPr>
                <w:rFonts w:ascii="Times New Roman" w:hAnsi="Times New Roman"/>
                <w:sz w:val="22"/>
              </w:rPr>
            </w:pPr>
            <w:r>
              <w:rPr>
                <w:rFonts w:ascii="Times New Roman" w:hAnsi="Times New Roman"/>
                <w:sz w:val="22"/>
              </w:rPr>
              <w:t>1</w:t>
            </w:r>
            <w:r w:rsidR="0073247B">
              <w:rPr>
                <w:rFonts w:ascii="Times New Roman" w:hAnsi="Times New Roman"/>
                <w:sz w:val="22"/>
              </w:rPr>
              <w:t>9</w:t>
            </w:r>
            <w:r>
              <w:rPr>
                <w:rFonts w:ascii="Times New Roman" w:hAnsi="Times New Roman"/>
                <w:sz w:val="22"/>
              </w:rPr>
              <w:t>.0</w:t>
            </w:r>
            <w:r w:rsidR="008E68DF">
              <w:rPr>
                <w:rFonts w:ascii="Times New Roman" w:hAnsi="Times New Roman"/>
                <w:sz w:val="22"/>
                <w:lang w:val="mk-MK"/>
              </w:rPr>
              <w:t>5</w:t>
            </w:r>
            <w:r>
              <w:rPr>
                <w:rFonts w:ascii="Times New Roman" w:hAnsi="Times New Roman"/>
                <w:sz w:val="22"/>
              </w:rPr>
              <w:t>.2022</w:t>
            </w:r>
          </w:p>
        </w:tc>
        <w:tc>
          <w:tcPr>
            <w:tcW w:w="2268" w:type="dxa"/>
          </w:tcPr>
          <w:p w14:paraId="1B912D43" w14:textId="3FB01B43" w:rsidR="0047783A" w:rsidRPr="00E82463" w:rsidRDefault="001E6F09" w:rsidP="00A4424B">
            <w:pPr>
              <w:jc w:val="center"/>
              <w:rPr>
                <w:rFonts w:ascii="Times New Roman" w:hAnsi="Times New Roman"/>
                <w:sz w:val="22"/>
              </w:rPr>
            </w:pPr>
            <w:r>
              <w:rPr>
                <w:rFonts w:ascii="Times New Roman" w:hAnsi="Times New Roman"/>
                <w:sz w:val="22"/>
              </w:rPr>
              <w:t>14:00</w:t>
            </w:r>
          </w:p>
        </w:tc>
      </w:tr>
      <w:tr w:rsidR="0047783A" w:rsidRPr="00E82463" w14:paraId="20643C68" w14:textId="77777777" w:rsidTr="00A4424B">
        <w:tc>
          <w:tcPr>
            <w:tcW w:w="3969" w:type="dxa"/>
            <w:shd w:val="pct10" w:color="auto" w:fill="FFFFFF"/>
          </w:tcPr>
          <w:p w14:paraId="3C49F837" w14:textId="77777777" w:rsidR="0047783A" w:rsidRPr="00E82463" w:rsidRDefault="0047783A">
            <w:pPr>
              <w:jc w:val="both"/>
              <w:rPr>
                <w:rFonts w:ascii="Times New Roman" w:hAnsi="Times New Roman"/>
                <w:b/>
                <w:sz w:val="22"/>
              </w:rPr>
            </w:pPr>
            <w:r w:rsidRPr="00E82463">
              <w:rPr>
                <w:rFonts w:ascii="Times New Roman" w:hAnsi="Times New Roman"/>
                <w:b/>
                <w:sz w:val="22"/>
              </w:rPr>
              <w:t>Tender opening session</w:t>
            </w:r>
          </w:p>
        </w:tc>
        <w:tc>
          <w:tcPr>
            <w:tcW w:w="2410" w:type="dxa"/>
          </w:tcPr>
          <w:p w14:paraId="7CC420FB" w14:textId="490C9238" w:rsidR="0047783A" w:rsidRPr="00E82463" w:rsidRDefault="007F0023" w:rsidP="008F5E42">
            <w:pPr>
              <w:jc w:val="center"/>
              <w:rPr>
                <w:rFonts w:ascii="Times New Roman" w:hAnsi="Times New Roman"/>
                <w:sz w:val="22"/>
              </w:rPr>
            </w:pPr>
            <w:r>
              <w:rPr>
                <w:rFonts w:ascii="Times New Roman" w:hAnsi="Times New Roman"/>
                <w:sz w:val="22"/>
              </w:rPr>
              <w:t>20</w:t>
            </w:r>
            <w:r w:rsidR="00D607E0">
              <w:rPr>
                <w:rFonts w:ascii="Times New Roman" w:hAnsi="Times New Roman"/>
                <w:sz w:val="22"/>
              </w:rPr>
              <w:t>.0</w:t>
            </w:r>
            <w:r>
              <w:rPr>
                <w:rFonts w:ascii="Times New Roman" w:hAnsi="Times New Roman"/>
                <w:sz w:val="22"/>
              </w:rPr>
              <w:t>5</w:t>
            </w:r>
            <w:r w:rsidR="00D607E0">
              <w:rPr>
                <w:rFonts w:ascii="Times New Roman" w:hAnsi="Times New Roman"/>
                <w:sz w:val="22"/>
              </w:rPr>
              <w:t>.2022</w:t>
            </w:r>
          </w:p>
        </w:tc>
        <w:tc>
          <w:tcPr>
            <w:tcW w:w="2268" w:type="dxa"/>
          </w:tcPr>
          <w:p w14:paraId="0B323692" w14:textId="354EC956" w:rsidR="0047783A" w:rsidRPr="00E82463" w:rsidRDefault="008F5E42" w:rsidP="00A4424B">
            <w:pPr>
              <w:jc w:val="center"/>
              <w:rPr>
                <w:rFonts w:ascii="Times New Roman" w:hAnsi="Times New Roman"/>
                <w:sz w:val="22"/>
              </w:rPr>
            </w:pPr>
            <w:r>
              <w:rPr>
                <w:rFonts w:ascii="Times New Roman" w:hAnsi="Times New Roman"/>
                <w:sz w:val="22"/>
              </w:rPr>
              <w:t>10:00</w:t>
            </w:r>
          </w:p>
        </w:tc>
      </w:tr>
      <w:tr w:rsidR="0047783A" w:rsidRPr="00E82463" w14:paraId="3FE3B52C" w14:textId="77777777" w:rsidTr="00A4424B">
        <w:tc>
          <w:tcPr>
            <w:tcW w:w="3969" w:type="dxa"/>
            <w:shd w:val="pct10" w:color="auto" w:fill="FFFFFF"/>
          </w:tcPr>
          <w:p w14:paraId="406E328E" w14:textId="77777777"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14:paraId="5E964415" w14:textId="4D62E7F8" w:rsidR="0047783A" w:rsidRPr="00E82463" w:rsidRDefault="0073247B" w:rsidP="001E6F09">
            <w:pPr>
              <w:tabs>
                <w:tab w:val="left" w:pos="851"/>
              </w:tabs>
              <w:jc w:val="center"/>
              <w:rPr>
                <w:rFonts w:ascii="Times New Roman" w:hAnsi="Times New Roman"/>
                <w:sz w:val="22"/>
              </w:rPr>
            </w:pPr>
            <w:r>
              <w:rPr>
                <w:rFonts w:ascii="Times New Roman" w:hAnsi="Times New Roman"/>
                <w:sz w:val="22"/>
              </w:rPr>
              <w:t>23.</w:t>
            </w:r>
            <w:r w:rsidR="001E6F09">
              <w:rPr>
                <w:rFonts w:ascii="Times New Roman" w:hAnsi="Times New Roman"/>
                <w:sz w:val="22"/>
              </w:rPr>
              <w:t>0</w:t>
            </w:r>
            <w:r>
              <w:rPr>
                <w:rFonts w:ascii="Times New Roman" w:hAnsi="Times New Roman"/>
                <w:sz w:val="22"/>
              </w:rPr>
              <w:t>5</w:t>
            </w:r>
            <w:r w:rsidR="001E6F09">
              <w:rPr>
                <w:rFonts w:ascii="Times New Roman" w:hAnsi="Times New Roman"/>
                <w:sz w:val="22"/>
              </w:rPr>
              <w:t>.2022</w:t>
            </w:r>
          </w:p>
        </w:tc>
        <w:tc>
          <w:tcPr>
            <w:tcW w:w="2268" w:type="dxa"/>
          </w:tcPr>
          <w:p w14:paraId="45BEB2F2" w14:textId="77777777" w:rsidR="0047783A" w:rsidRPr="00E82463" w:rsidRDefault="0047783A"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14:paraId="737866C0" w14:textId="77777777" w:rsidTr="00A4424B">
        <w:tc>
          <w:tcPr>
            <w:tcW w:w="3969" w:type="dxa"/>
            <w:shd w:val="pct10" w:color="auto" w:fill="FFFFFF"/>
          </w:tcPr>
          <w:p w14:paraId="1DAA28DC" w14:textId="77777777"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14:paraId="23EE4B87" w14:textId="1EB83C1C" w:rsidR="0047783A" w:rsidRPr="00E82463" w:rsidRDefault="004601DB" w:rsidP="001E6F09">
            <w:pPr>
              <w:tabs>
                <w:tab w:val="left" w:pos="851"/>
              </w:tabs>
              <w:jc w:val="center"/>
              <w:rPr>
                <w:rFonts w:ascii="Times New Roman" w:hAnsi="Times New Roman"/>
                <w:sz w:val="22"/>
              </w:rPr>
            </w:pPr>
            <w:r>
              <w:rPr>
                <w:rFonts w:ascii="Times New Roman" w:hAnsi="Times New Roman"/>
                <w:sz w:val="22"/>
              </w:rPr>
              <w:t>30</w:t>
            </w:r>
            <w:r w:rsidR="001E6F09">
              <w:rPr>
                <w:rFonts w:ascii="Times New Roman" w:hAnsi="Times New Roman"/>
                <w:sz w:val="22"/>
              </w:rPr>
              <w:t>.0</w:t>
            </w:r>
            <w:r>
              <w:rPr>
                <w:rFonts w:ascii="Times New Roman" w:hAnsi="Times New Roman"/>
                <w:sz w:val="22"/>
              </w:rPr>
              <w:t>5</w:t>
            </w:r>
            <w:r w:rsidR="001E6F09">
              <w:rPr>
                <w:rFonts w:ascii="Times New Roman" w:hAnsi="Times New Roman"/>
                <w:sz w:val="22"/>
              </w:rPr>
              <w:t>.2022</w:t>
            </w:r>
          </w:p>
        </w:tc>
        <w:tc>
          <w:tcPr>
            <w:tcW w:w="2268" w:type="dxa"/>
          </w:tcPr>
          <w:p w14:paraId="07D43816" w14:textId="77777777" w:rsidR="0047783A" w:rsidRPr="00E82463" w:rsidRDefault="0047783A">
            <w:pPr>
              <w:tabs>
                <w:tab w:val="left" w:pos="851"/>
              </w:tabs>
              <w:jc w:val="both"/>
              <w:rPr>
                <w:rFonts w:ascii="Times New Roman" w:hAnsi="Times New Roman"/>
                <w:sz w:val="22"/>
              </w:rPr>
            </w:pPr>
            <w:r w:rsidRPr="00E82463">
              <w:rPr>
                <w:rFonts w:ascii="Times New Roman" w:hAnsi="Times New Roman"/>
                <w:sz w:val="22"/>
              </w:rPr>
              <w:t>-</w:t>
            </w:r>
          </w:p>
        </w:tc>
      </w:tr>
    </w:tbl>
    <w:p w14:paraId="528933F0" w14:textId="65C9B1E3" w:rsidR="00F679ED" w:rsidRPr="00E82463" w:rsidRDefault="0047783A">
      <w:pPr>
        <w:tabs>
          <w:tab w:val="left" w:pos="851"/>
        </w:tabs>
        <w:jc w:val="both"/>
        <w:rPr>
          <w:rFonts w:ascii="Times New Roman" w:hAnsi="Times New Roman"/>
          <w:b/>
        </w:rPr>
      </w:pPr>
      <w:bookmarkStart w:id="5"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14:paraId="749A5A1F" w14:textId="77777777" w:rsidR="0047783A" w:rsidRPr="00E82463" w:rsidRDefault="0047783A" w:rsidP="00A4424B">
      <w:pPr>
        <w:pStyle w:val="Heading1"/>
      </w:pPr>
      <w:bookmarkStart w:id="6" w:name="_Toc42488072"/>
      <w:bookmarkEnd w:id="5"/>
      <w:r w:rsidRPr="00E82463">
        <w:lastRenderedPageBreak/>
        <w:t>Participation</w:t>
      </w:r>
      <w:bookmarkEnd w:id="6"/>
    </w:p>
    <w:p w14:paraId="7D036A7F" w14:textId="77777777" w:rsidR="00177317" w:rsidRDefault="0047783A" w:rsidP="00177317">
      <w:pPr>
        <w:pStyle w:val="Heading2"/>
        <w:keepNext w:val="0"/>
        <w:tabs>
          <w:tab w:val="left" w:pos="709"/>
        </w:tabs>
        <w:ind w:left="567" w:hanging="567"/>
        <w:jc w:val="both"/>
        <w:rPr>
          <w:rFonts w:ascii="Times New Roman" w:hAnsi="Times New Roman"/>
          <w:snapToGrid/>
          <w:sz w:val="22"/>
          <w:lang w:val="en-GB"/>
        </w:rPr>
      </w:pPr>
      <w:r w:rsidRPr="00E82463">
        <w:rPr>
          <w:sz w:val="22"/>
          <w:lang w:val="en-GB"/>
        </w:rPr>
        <w:t>3.1</w:t>
      </w:r>
      <w:r w:rsidRPr="00E82463">
        <w:rPr>
          <w:sz w:val="22"/>
          <w:lang w:val="en-GB"/>
        </w:rPr>
        <w:tab/>
      </w:r>
      <w:r w:rsidR="00177317">
        <w:rPr>
          <w:rFonts w:ascii="Times New Roman" w:hAnsi="Times New Roman"/>
          <w:sz w:val="22"/>
          <w:lang w:val="en-GB"/>
        </w:rPr>
        <w:t xml:space="preserve">The eligibility requirements detailed in the Additional information about the contract </w:t>
      </w:r>
      <w:proofErr w:type="gramStart"/>
      <w:r w:rsidR="00177317">
        <w:rPr>
          <w:rFonts w:ascii="Times New Roman" w:hAnsi="Times New Roman"/>
          <w:sz w:val="22"/>
          <w:lang w:val="en-GB"/>
        </w:rPr>
        <w:t>notice(</w:t>
      </w:r>
      <w:proofErr w:type="gramEnd"/>
      <w:r w:rsidR="00177317">
        <w:rPr>
          <w:rFonts w:ascii="Times New Roman" w:hAnsi="Times New Roman"/>
          <w:sz w:val="22"/>
          <w:lang w:val="en-GB"/>
        </w:rPr>
        <w:t>Annex A5f) or, if applicable, in the Contract Notice (C2), apply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14:paraId="071985EC" w14:textId="77777777" w:rsidR="00177317" w:rsidRDefault="00177317" w:rsidP="00177317">
      <w:pPr>
        <w:pStyle w:val="Heading2"/>
        <w:keepNext w:val="0"/>
        <w:tabs>
          <w:tab w:val="left" w:pos="709"/>
        </w:tabs>
        <w:ind w:left="567" w:hanging="567"/>
        <w:jc w:val="both"/>
        <w:rPr>
          <w:rFonts w:ascii="Times New Roman" w:hAnsi="Times New Roman"/>
          <w:sz w:val="22"/>
          <w:lang w:val="en-GB"/>
        </w:rPr>
      </w:pPr>
      <w:r>
        <w:rPr>
          <w:rFonts w:ascii="Times New Roman" w:hAnsi="Times New Roman"/>
          <w:sz w:val="22"/>
          <w:lang w:val="en-GB"/>
        </w:rPr>
        <w:t>3.2.</w:t>
      </w:r>
      <w:r>
        <w:rPr>
          <w:rFonts w:ascii="Times New Roman" w:hAnsi="Times New Roman"/>
          <w:sz w:val="22"/>
          <w:lang w:val="en-GB"/>
        </w:rPr>
        <w:tab/>
        <w:t>Natural or legal persons are not entitled to participate in this tender procedure or be awarded a contract if they are in any of the situations mentioned in Sections2.4. (EU restrictive measures), 2.6.10.1. (</w:t>
      </w:r>
      <w:proofErr w:type="gramStart"/>
      <w:r>
        <w:rPr>
          <w:rFonts w:ascii="Times New Roman" w:hAnsi="Times New Roman"/>
          <w:sz w:val="22"/>
          <w:lang w:val="en-GB"/>
        </w:rPr>
        <w:t>exclusion</w:t>
      </w:r>
      <w:proofErr w:type="gramEnd"/>
      <w:r>
        <w:rPr>
          <w:rFonts w:ascii="Times New Roman" w:hAnsi="Times New Roman"/>
          <w:sz w:val="22"/>
          <w:lang w:val="en-GB"/>
        </w:rPr>
        <w:t xml:space="preserve"> criteria) or 2.6.10.1.2. (</w:t>
      </w:r>
      <w:proofErr w:type="gramStart"/>
      <w:r>
        <w:rPr>
          <w:rFonts w:ascii="Times New Roman" w:hAnsi="Times New Roman"/>
          <w:sz w:val="22"/>
          <w:lang w:val="en-GB"/>
        </w:rPr>
        <w:t>rejection</w:t>
      </w:r>
      <w:proofErr w:type="gramEnd"/>
      <w:r>
        <w:rPr>
          <w:rFonts w:ascii="Times New Roman" w:hAnsi="Times New Roman"/>
          <w:sz w:val="22"/>
          <w:lang w:val="en-GB"/>
        </w:rPr>
        <w:t xml:space="preserve"> from a procedure) of the practical guide. Should they do so, their tender will be considered unsuitable or irregular respectively. </w:t>
      </w:r>
      <w:r>
        <w:rPr>
          <w:rFonts w:ascii="Times New Roman" w:hAnsi="Times New Roman"/>
          <w:sz w:val="22"/>
          <w:szCs w:val="22"/>
          <w:lang w:val="en-GB"/>
        </w:rPr>
        <w:t>In the cases listed in Section 2.6.10.1. of the practical guide tenderers may also be excluded from EU financed procedures and be subject to financial penalties up to 10</w:t>
      </w:r>
      <w:r>
        <w:rPr>
          <w:rFonts w:ascii="Times New Roman" w:hAnsi="Times New Roman"/>
          <w:w w:val="50"/>
          <w:sz w:val="22"/>
          <w:szCs w:val="22"/>
          <w:lang w:val="en-GB"/>
        </w:rPr>
        <w:t> </w:t>
      </w:r>
      <w:r>
        <w:rPr>
          <w:rFonts w:ascii="Times New Roman" w:hAnsi="Times New Roman"/>
          <w:sz w:val="22"/>
          <w:szCs w:val="22"/>
          <w:lang w:val="en-GB"/>
        </w:rPr>
        <w:t xml:space="preserve">% of the total value of the contract </w:t>
      </w:r>
      <w:proofErr w:type="spellStart"/>
      <w:r>
        <w:rPr>
          <w:rFonts w:ascii="Times New Roman" w:hAnsi="Times New Roman"/>
          <w:sz w:val="22"/>
          <w:szCs w:val="22"/>
          <w:lang w:val="en-GB"/>
        </w:rPr>
        <w:t>inaccordance</w:t>
      </w:r>
      <w:proofErr w:type="spellEnd"/>
      <w:r>
        <w:rPr>
          <w:rFonts w:ascii="Times New Roman" w:hAnsi="Times New Roman"/>
          <w:sz w:val="22"/>
          <w:szCs w:val="22"/>
          <w:lang w:val="en-GB"/>
        </w:rPr>
        <w:t xml:space="preserve"> with the Financial Regulation in force. This information may be published on </w:t>
      </w:r>
      <w:proofErr w:type="spellStart"/>
      <w:r>
        <w:rPr>
          <w:rFonts w:ascii="Times New Roman" w:hAnsi="Times New Roman"/>
          <w:sz w:val="22"/>
          <w:szCs w:val="22"/>
          <w:lang w:val="en-GB"/>
        </w:rPr>
        <w:t>theCommission</w:t>
      </w:r>
      <w:proofErr w:type="spellEnd"/>
      <w:r>
        <w:rPr>
          <w:rFonts w:ascii="Times New Roman" w:hAnsi="Times New Roman"/>
          <w:sz w:val="22"/>
          <w:szCs w:val="22"/>
          <w:lang w:val="en-GB"/>
        </w:rPr>
        <w:t xml:space="preserve"> website in accordance with the Financial Regulation in </w:t>
      </w:r>
      <w:proofErr w:type="spellStart"/>
      <w:proofErr w:type="gramStart"/>
      <w:r>
        <w:rPr>
          <w:rFonts w:ascii="Times New Roman" w:hAnsi="Times New Roman"/>
          <w:sz w:val="22"/>
          <w:szCs w:val="22"/>
          <w:lang w:val="en-GB"/>
        </w:rPr>
        <w:t>force.</w:t>
      </w:r>
      <w:r>
        <w:rPr>
          <w:rFonts w:ascii="Times New Roman" w:hAnsi="Times New Roman"/>
          <w:sz w:val="22"/>
          <w:lang w:val="en-GB"/>
        </w:rPr>
        <w:t>Tenderers</w:t>
      </w:r>
      <w:proofErr w:type="spellEnd"/>
      <w:proofErr w:type="gramEnd"/>
      <w:r>
        <w:rPr>
          <w:rFonts w:ascii="Times New Roman" w:hAnsi="Times New Roman"/>
          <w:sz w:val="22"/>
          <w:lang w:val="en-GB"/>
        </w:rPr>
        <w:t xml:space="preserve"> must provide declarations on honour</w:t>
      </w:r>
      <w:r>
        <w:rPr>
          <w:rStyle w:val="FootnoteReference"/>
          <w:rFonts w:ascii="Times New Roman" w:hAnsi="Times New Roman"/>
          <w:sz w:val="22"/>
          <w:lang w:val="en-GB"/>
        </w:rPr>
        <w:footnoteReference w:id="1"/>
      </w:r>
      <w:r>
        <w:rPr>
          <w:rFonts w:ascii="Times New Roman" w:hAnsi="Times New Roman"/>
          <w:sz w:val="22"/>
          <w:lang w:val="en-GB"/>
        </w:rPr>
        <w:t xml:space="preserve"> that they are not in any of these exclusion situations. Such declarations must also be submitted by all the members of a joint venture/consortium, by any sub-contractor and by any capacity providing entities. Tenderers who make false declarations may also incur financial penalties and exclusion in accordance with the Financial Regulation in </w:t>
      </w:r>
      <w:proofErr w:type="spellStart"/>
      <w:proofErr w:type="gramStart"/>
      <w:r>
        <w:rPr>
          <w:rFonts w:ascii="Times New Roman" w:hAnsi="Times New Roman"/>
          <w:sz w:val="22"/>
          <w:lang w:val="en-GB"/>
        </w:rPr>
        <w:t>force.Their</w:t>
      </w:r>
      <w:proofErr w:type="spellEnd"/>
      <w:proofErr w:type="gramEnd"/>
      <w:r>
        <w:rPr>
          <w:rFonts w:ascii="Times New Roman" w:hAnsi="Times New Roman"/>
          <w:sz w:val="22"/>
          <w:lang w:val="en-GB"/>
        </w:rPr>
        <w:t xml:space="preserve"> tender will be considered irregular.</w:t>
      </w:r>
    </w:p>
    <w:p w14:paraId="793364E8" w14:textId="77777777" w:rsidR="00177317" w:rsidRDefault="00177317" w:rsidP="00177317">
      <w:pPr>
        <w:pStyle w:val="Heading2"/>
        <w:keepNext w:val="0"/>
        <w:tabs>
          <w:tab w:val="num" w:pos="709"/>
        </w:tabs>
        <w:ind w:left="567"/>
        <w:jc w:val="both"/>
        <w:rPr>
          <w:rFonts w:ascii="Times New Roman" w:hAnsi="Times New Roman"/>
          <w:sz w:val="22"/>
          <w:szCs w:val="22"/>
          <w:lang w:val="en-GB"/>
        </w:rPr>
      </w:pPr>
      <w:r>
        <w:rPr>
          <w:rFonts w:ascii="Times New Roman" w:hAnsi="Times New Roman"/>
          <w:sz w:val="22"/>
          <w:lang w:val="en-GB"/>
        </w:rPr>
        <w:t xml:space="preserve">The exclusion situations referred to above also apply to all members of a joint venture/consortium, all </w:t>
      </w:r>
      <w:proofErr w:type="gramStart"/>
      <w:r>
        <w:rPr>
          <w:rFonts w:ascii="Times New Roman" w:hAnsi="Times New Roman"/>
          <w:sz w:val="22"/>
          <w:lang w:val="en-GB"/>
        </w:rPr>
        <w:t>subcontractors</w:t>
      </w:r>
      <w:proofErr w:type="gramEnd"/>
      <w:r>
        <w:rPr>
          <w:rFonts w:ascii="Times New Roman" w:hAnsi="Times New Roman"/>
          <w:sz w:val="22"/>
          <w:lang w:val="en-GB"/>
        </w:rPr>
        <w:t xml:space="preserve"> and all suppliers to tenderers, as well as to all entities upon whose capacity the tenderer relies for the selection criteria. </w:t>
      </w:r>
      <w:r>
        <w:rPr>
          <w:rFonts w:ascii="Times New Roman" w:hAnsi="Times New Roman"/>
          <w:sz w:val="22"/>
          <w:szCs w:val="22"/>
          <w:lang w:val="en-GB"/>
        </w:rPr>
        <w:t>In cases of doubt over declarations, the contracting authority will request documentary evidence that subcontractors and/or capacity providing entities are not in a situation that excludes them.</w:t>
      </w:r>
    </w:p>
    <w:p w14:paraId="06EB4202" w14:textId="62BA98E9" w:rsidR="0069153C" w:rsidRPr="00A4424B" w:rsidRDefault="00177317" w:rsidP="00177317">
      <w:pPr>
        <w:pStyle w:val="Heading2"/>
        <w:keepNext w:val="0"/>
        <w:tabs>
          <w:tab w:val="num" w:pos="709"/>
          <w:tab w:val="left" w:pos="8080"/>
        </w:tabs>
        <w:ind w:left="567" w:hanging="567"/>
        <w:jc w:val="both"/>
        <w:rPr>
          <w:rFonts w:ascii="Times New Roman" w:hAnsi="Times New Roman"/>
          <w:sz w:val="22"/>
          <w:szCs w:val="22"/>
          <w:lang w:val="en-GB"/>
        </w:rPr>
      </w:pPr>
      <w:r>
        <w:rPr>
          <w:rFonts w:ascii="Times New Roman" w:hAnsi="Times New Roman"/>
          <w:sz w:val="22"/>
          <w:szCs w:val="22"/>
          <w:lang w:val="en-GB"/>
        </w:rPr>
        <w:t>3.3.</w:t>
      </w:r>
      <w:r>
        <w:rPr>
          <w:rFonts w:ascii="Times New Roman" w:hAnsi="Times New Roman"/>
          <w:sz w:val="22"/>
          <w:szCs w:val="22"/>
          <w:lang w:val="en-GB"/>
        </w:rPr>
        <w:tab/>
        <w:t xml:space="preserve">To be eligible to take part in this tender procedure, tenderers must prove to the satisfaction of the contracting authority that they comply with the necessary legal, </w:t>
      </w:r>
      <w:proofErr w:type="gramStart"/>
      <w:r>
        <w:rPr>
          <w:rFonts w:ascii="Times New Roman" w:hAnsi="Times New Roman"/>
          <w:sz w:val="22"/>
          <w:szCs w:val="22"/>
          <w:lang w:val="en-GB"/>
        </w:rPr>
        <w:t>technical</w:t>
      </w:r>
      <w:proofErr w:type="gramEnd"/>
      <w:r>
        <w:rPr>
          <w:rFonts w:ascii="Times New Roman" w:hAnsi="Times New Roman"/>
          <w:sz w:val="22"/>
          <w:szCs w:val="22"/>
          <w:lang w:val="en-GB"/>
        </w:rPr>
        <w:t xml:space="preserve"> and financial requirements and have the means to carry out the contract effectively.</w:t>
      </w:r>
    </w:p>
    <w:p w14:paraId="0A4FFE07" w14:textId="36B70CBD" w:rsidR="0047783A" w:rsidRPr="00E82463" w:rsidRDefault="0047783A" w:rsidP="00A4424B">
      <w:pPr>
        <w:pStyle w:val="Heading1"/>
      </w:pPr>
      <w:bookmarkStart w:id="7" w:name="_Toc42488073"/>
      <w:r w:rsidRPr="00E82463">
        <w:t>Origin</w:t>
      </w:r>
      <w:bookmarkEnd w:id="7"/>
    </w:p>
    <w:p w14:paraId="04DBA5B3" w14:textId="77777777" w:rsidR="00177317" w:rsidRDefault="0047783A" w:rsidP="00177317">
      <w:pPr>
        <w:pStyle w:val="paragraph"/>
        <w:spacing w:before="0" w:beforeAutospacing="0" w:after="0" w:afterAutospacing="0"/>
        <w:textAlignment w:val="baseline"/>
        <w:rPr>
          <w:sz w:val="22"/>
          <w:szCs w:val="22"/>
        </w:rPr>
      </w:pPr>
      <w:r w:rsidRPr="00E82463">
        <w:rPr>
          <w:sz w:val="22"/>
          <w:lang w:val="en-GB"/>
        </w:rPr>
        <w:t>4.1</w:t>
      </w:r>
      <w:r w:rsidR="00164F15" w:rsidRPr="00E82463">
        <w:rPr>
          <w:sz w:val="22"/>
          <w:lang w:val="en-GB"/>
        </w:rPr>
        <w:tab/>
      </w:r>
      <w:r w:rsidR="00177317">
        <w:rPr>
          <w:sz w:val="22"/>
          <w:szCs w:val="22"/>
        </w:rPr>
        <w:t xml:space="preserve">All supplies </w:t>
      </w:r>
      <w:proofErr w:type="spellStart"/>
      <w:r w:rsidR="00177317">
        <w:rPr>
          <w:sz w:val="22"/>
          <w:szCs w:val="22"/>
        </w:rPr>
        <w:t>underthiscontractmay</w:t>
      </w:r>
      <w:r w:rsidR="00177317">
        <w:rPr>
          <w:rFonts w:eastAsia="Calibri"/>
          <w:noProof/>
          <w:sz w:val="22"/>
          <w:szCs w:val="22"/>
        </w:rPr>
        <w:t>originate</w:t>
      </w:r>
      <w:proofErr w:type="spellEnd"/>
      <w:r w:rsidR="00177317">
        <w:rPr>
          <w:rFonts w:eastAsia="Calibri"/>
          <w:noProof/>
          <w:sz w:val="22"/>
          <w:szCs w:val="22"/>
        </w:rPr>
        <w:t xml:space="preserve"> from any country.</w:t>
      </w:r>
    </w:p>
    <w:p w14:paraId="79708417" w14:textId="77777777" w:rsidR="00177317" w:rsidRDefault="00177317" w:rsidP="00177317">
      <w:pPr>
        <w:pStyle w:val="Heading2"/>
        <w:keepNext w:val="0"/>
        <w:ind w:left="567" w:hanging="567"/>
        <w:jc w:val="both"/>
        <w:rPr>
          <w:rFonts w:ascii="Times New Roman" w:hAnsi="Times New Roman"/>
          <w:sz w:val="22"/>
          <w:lang w:val="en-GB"/>
        </w:rPr>
      </w:pPr>
      <w:r>
        <w:rPr>
          <w:rFonts w:ascii="Times New Roman" w:hAnsi="Times New Roman"/>
          <w:sz w:val="22"/>
          <w:lang w:val="en-GB"/>
        </w:rPr>
        <w:t>4.2</w:t>
      </w:r>
      <w:r>
        <w:rPr>
          <w:rFonts w:ascii="Times New Roman" w:hAnsi="Times New Roman"/>
          <w:sz w:val="22"/>
          <w:lang w:val="en-GB"/>
        </w:rPr>
        <w:tab/>
        <w:t>When submitting tenders, tenderers must state expressly that all the goods meet the requirements concerning origin and must state the countries of origin. They may be asked to provide additional information in this connection.</w:t>
      </w:r>
    </w:p>
    <w:p w14:paraId="1B12FF34" w14:textId="6347E01B" w:rsidR="0047783A" w:rsidRPr="00E82463" w:rsidRDefault="0047783A" w:rsidP="00177317">
      <w:pPr>
        <w:pStyle w:val="Heading2"/>
        <w:keepNext w:val="0"/>
        <w:numPr>
          <w:ilvl w:val="1"/>
          <w:numId w:val="0"/>
        </w:numPr>
        <w:ind w:left="567" w:hanging="567"/>
        <w:jc w:val="both"/>
        <w:rPr>
          <w:rFonts w:ascii="Times New Roman" w:hAnsi="Times New Roman"/>
          <w:sz w:val="22"/>
          <w:lang w:val="en-GB"/>
        </w:rPr>
      </w:pPr>
    </w:p>
    <w:p w14:paraId="0808C6D2" w14:textId="5EA0A706" w:rsidR="0047783A" w:rsidRDefault="0047783A" w:rsidP="00905B55">
      <w:pPr>
        <w:pStyle w:val="Heading1"/>
      </w:pPr>
      <w:bookmarkStart w:id="8" w:name="_Toc42488074"/>
      <w:r w:rsidRPr="00E82463">
        <w:lastRenderedPageBreak/>
        <w:t xml:space="preserve">Type of </w:t>
      </w:r>
      <w:proofErr w:type="spellStart"/>
      <w:r w:rsidRPr="00E82463">
        <w:t>contract</w:t>
      </w:r>
      <w:bookmarkEnd w:id="8"/>
      <w:proofErr w:type="spellEnd"/>
    </w:p>
    <w:p w14:paraId="2F4EE26E" w14:textId="64004167" w:rsidR="00905B55" w:rsidRPr="00945E38" w:rsidRDefault="00D2308C" w:rsidP="00945E38">
      <w:pPr>
        <w:ind w:left="567"/>
        <w:rPr>
          <w:rFonts w:ascii="Times New Roman" w:hAnsi="Times New Roman"/>
          <w:sz w:val="22"/>
          <w:szCs w:val="22"/>
          <w:lang w:val="fr-BE"/>
        </w:rPr>
      </w:pPr>
      <w:r>
        <w:rPr>
          <w:rFonts w:ascii="Times New Roman" w:hAnsi="Times New Roman"/>
          <w:sz w:val="22"/>
          <w:szCs w:val="22"/>
          <w:lang w:val="fr-BE"/>
        </w:rPr>
        <w:t xml:space="preserve">Lump </w:t>
      </w:r>
      <w:proofErr w:type="spellStart"/>
      <w:r>
        <w:rPr>
          <w:rFonts w:ascii="Times New Roman" w:hAnsi="Times New Roman"/>
          <w:sz w:val="22"/>
          <w:szCs w:val="22"/>
          <w:lang w:val="fr-BE"/>
        </w:rPr>
        <w:t>sum</w:t>
      </w:r>
      <w:proofErr w:type="spellEnd"/>
      <w:r>
        <w:rPr>
          <w:rFonts w:ascii="Times New Roman" w:hAnsi="Times New Roman"/>
          <w:sz w:val="22"/>
          <w:szCs w:val="22"/>
          <w:lang w:val="fr-BE"/>
        </w:rPr>
        <w:t>.</w:t>
      </w:r>
    </w:p>
    <w:p w14:paraId="53C01C50" w14:textId="77777777" w:rsidR="0047783A" w:rsidRPr="00E82463" w:rsidRDefault="0047783A" w:rsidP="00A4424B">
      <w:pPr>
        <w:pStyle w:val="Heading1"/>
      </w:pPr>
      <w:bookmarkStart w:id="9" w:name="_Toc42488075"/>
      <w:r w:rsidRPr="00E82463">
        <w:t>Currency</w:t>
      </w:r>
      <w:bookmarkEnd w:id="9"/>
    </w:p>
    <w:p w14:paraId="0C0B017B" w14:textId="23BC1D23"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DF68E1">
        <w:rPr>
          <w:rFonts w:ascii="Times New Roman" w:hAnsi="Times New Roman"/>
          <w:bCs/>
          <w:sz w:val="22"/>
          <w:szCs w:val="22"/>
          <w:lang w:val="en-GB"/>
        </w:rPr>
        <w:t>E</w:t>
      </w:r>
      <w:r w:rsidRPr="00DF68E1">
        <w:rPr>
          <w:rFonts w:ascii="Times New Roman" w:hAnsi="Times New Roman"/>
          <w:bCs/>
          <w:sz w:val="22"/>
          <w:szCs w:val="22"/>
          <w:lang w:val="en-GB"/>
        </w:rPr>
        <w:t>uro</w:t>
      </w:r>
      <w:r w:rsidR="00DF68E1">
        <w:rPr>
          <w:rFonts w:ascii="Times New Roman" w:hAnsi="Times New Roman"/>
          <w:bCs/>
          <w:sz w:val="22"/>
          <w:szCs w:val="22"/>
          <w:lang w:val="en-GB"/>
        </w:rPr>
        <w:t>.</w:t>
      </w:r>
    </w:p>
    <w:p w14:paraId="69BD8352" w14:textId="77777777" w:rsidR="0047783A" w:rsidRPr="00E82463" w:rsidRDefault="0047783A" w:rsidP="00A4424B">
      <w:pPr>
        <w:pStyle w:val="Heading1"/>
      </w:pPr>
      <w:bookmarkStart w:id="10" w:name="_Toc42488076"/>
      <w:r w:rsidRPr="00E82463">
        <w:t>Lots</w:t>
      </w:r>
      <w:bookmarkEnd w:id="10"/>
    </w:p>
    <w:p w14:paraId="5DECA246" w14:textId="0AB69B37" w:rsidR="0047783A" w:rsidRPr="00E82463" w:rsidRDefault="0047783A" w:rsidP="00E82463">
      <w:pPr>
        <w:ind w:left="567"/>
        <w:jc w:val="both"/>
        <w:rPr>
          <w:rFonts w:ascii="Times New Roman" w:hAnsi="Times New Roman"/>
          <w:sz w:val="22"/>
        </w:rPr>
      </w:pPr>
      <w:r w:rsidRPr="002C09D3">
        <w:rPr>
          <w:rFonts w:ascii="Times New Roman" w:hAnsi="Times New Roman"/>
          <w:sz w:val="22"/>
        </w:rPr>
        <w:t>This tender procedure is not divided into lots.</w:t>
      </w:r>
    </w:p>
    <w:p w14:paraId="3241258B" w14:textId="77777777" w:rsidR="0047783A" w:rsidRPr="00E82463" w:rsidRDefault="0047783A" w:rsidP="00A4424B">
      <w:pPr>
        <w:pStyle w:val="Heading1"/>
      </w:pPr>
      <w:bookmarkStart w:id="11" w:name="_Toc42488077"/>
      <w:proofErr w:type="spellStart"/>
      <w:r w:rsidRPr="00E82463">
        <w:t>Period</w:t>
      </w:r>
      <w:proofErr w:type="spellEnd"/>
      <w:r w:rsidRPr="00E82463">
        <w:t xml:space="preserve"> of </w:t>
      </w:r>
      <w:proofErr w:type="spellStart"/>
      <w:r w:rsidRPr="00E82463">
        <w:t>validity</w:t>
      </w:r>
      <w:bookmarkEnd w:id="11"/>
      <w:proofErr w:type="spellEnd"/>
    </w:p>
    <w:p w14:paraId="084A0A95" w14:textId="77777777"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14:paraId="1B84BBBD" w14:textId="77777777"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4E2311AF"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326A401D" w14:textId="77777777" w:rsidR="0047783A" w:rsidRPr="00E82463" w:rsidRDefault="0047783A" w:rsidP="00A4424B">
      <w:pPr>
        <w:pStyle w:val="Heading1"/>
      </w:pPr>
      <w:bookmarkStart w:id="12" w:name="_Toc42488078"/>
      <w:bookmarkStart w:id="13" w:name="_Ref500330462"/>
      <w:proofErr w:type="spellStart"/>
      <w:r w:rsidRPr="00E82463">
        <w:t>Language</w:t>
      </w:r>
      <w:proofErr w:type="spellEnd"/>
      <w:r w:rsidRPr="00E82463">
        <w:t xml:space="preserve"> of </w:t>
      </w:r>
      <w:bookmarkEnd w:id="12"/>
      <w:r w:rsidR="009A3A53" w:rsidRPr="00E82463">
        <w:t>tenders</w:t>
      </w:r>
    </w:p>
    <w:bookmarkEnd w:id="13"/>
    <w:p w14:paraId="312A74B3"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14:paraId="44CBBA8A"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56C00CDC" w14:textId="77777777" w:rsidR="0047783A" w:rsidRPr="00E82463" w:rsidRDefault="0047783A" w:rsidP="00A4424B">
      <w:pPr>
        <w:pStyle w:val="Heading1"/>
      </w:pPr>
      <w:bookmarkStart w:id="14" w:name="_Toc42488079"/>
      <w:proofErr w:type="spellStart"/>
      <w:r w:rsidRPr="00E82463">
        <w:lastRenderedPageBreak/>
        <w:t>Submission</w:t>
      </w:r>
      <w:proofErr w:type="spellEnd"/>
      <w:r w:rsidRPr="00E82463">
        <w:t xml:space="preserve"> of tenders</w:t>
      </w:r>
      <w:bookmarkEnd w:id="14"/>
    </w:p>
    <w:p w14:paraId="20BA2DC3" w14:textId="77777777" w:rsidR="0047783A" w:rsidRPr="00E82463" w:rsidRDefault="0047783A" w:rsidP="006E1DB1">
      <w:pPr>
        <w:pStyle w:val="Heading2"/>
        <w:keepNext w:val="0"/>
        <w:ind w:left="567" w:hanging="567"/>
        <w:jc w:val="both"/>
        <w:rPr>
          <w:rFonts w:ascii="Times New Roman" w:hAnsi="Times New Roman"/>
          <w:lang w:val="en-GB"/>
        </w:rPr>
      </w:pPr>
      <w:bookmarkStart w:id="15"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p w14:paraId="2E55C361" w14:textId="77777777" w:rsidR="0060085B" w:rsidRPr="0060085B" w:rsidRDefault="0060085B" w:rsidP="0060085B">
      <w:pPr>
        <w:spacing w:before="240" w:after="0"/>
        <w:ind w:firstLine="567"/>
        <w:rPr>
          <w:rFonts w:ascii="Times New Roman" w:hAnsi="Times New Roman"/>
          <w:b/>
          <w:bCs/>
          <w:snapToGrid/>
          <w:color w:val="000000"/>
          <w:sz w:val="22"/>
          <w:szCs w:val="22"/>
          <w:lang w:eastAsia="en-GB"/>
        </w:rPr>
      </w:pPr>
      <w:bookmarkStart w:id="16" w:name="_Hlk112599863"/>
      <w:bookmarkStart w:id="17" w:name="_Hlk112599768"/>
      <w:bookmarkEnd w:id="15"/>
      <w:r w:rsidRPr="0060085B">
        <w:rPr>
          <w:rFonts w:ascii="Times New Roman" w:hAnsi="Times New Roman"/>
          <w:b/>
          <w:bCs/>
          <w:snapToGrid/>
          <w:color w:val="000000"/>
          <w:sz w:val="22"/>
          <w:szCs w:val="22"/>
          <w:lang w:eastAsia="en-GB"/>
        </w:rPr>
        <w:t xml:space="preserve">Military academy „General Mihailo </w:t>
      </w:r>
      <w:proofErr w:type="spellStart"/>
      <w:r w:rsidRPr="0060085B">
        <w:rPr>
          <w:rFonts w:ascii="Times New Roman" w:hAnsi="Times New Roman"/>
          <w:b/>
          <w:bCs/>
          <w:snapToGrid/>
          <w:color w:val="000000"/>
          <w:sz w:val="22"/>
          <w:szCs w:val="22"/>
          <w:lang w:eastAsia="en-GB"/>
        </w:rPr>
        <w:t>Apostolski</w:t>
      </w:r>
      <w:proofErr w:type="spellEnd"/>
      <w:r w:rsidRPr="0060085B">
        <w:rPr>
          <w:rFonts w:ascii="Times New Roman" w:hAnsi="Times New Roman"/>
          <w:b/>
          <w:bCs/>
          <w:snapToGrid/>
          <w:color w:val="000000"/>
          <w:sz w:val="22"/>
          <w:szCs w:val="22"/>
          <w:lang w:eastAsia="en-GB"/>
        </w:rPr>
        <w:t xml:space="preserve"> “– Skopje</w:t>
      </w:r>
    </w:p>
    <w:bookmarkEnd w:id="16"/>
    <w:p w14:paraId="2B35276C" w14:textId="77777777" w:rsidR="0060085B" w:rsidRPr="0060085B" w:rsidRDefault="0060085B" w:rsidP="0060085B">
      <w:pPr>
        <w:spacing w:before="240" w:after="0"/>
        <w:ind w:firstLine="567"/>
        <w:rPr>
          <w:rFonts w:ascii="Times New Roman" w:hAnsi="Times New Roman"/>
          <w:snapToGrid/>
          <w:color w:val="000000"/>
          <w:sz w:val="22"/>
          <w:szCs w:val="22"/>
          <w:lang w:eastAsia="en-GB"/>
        </w:rPr>
      </w:pPr>
      <w:r w:rsidRPr="0060085B">
        <w:rPr>
          <w:rFonts w:ascii="Times New Roman" w:hAnsi="Times New Roman"/>
          <w:snapToGrid/>
          <w:color w:val="000000"/>
          <w:sz w:val="22"/>
          <w:szCs w:val="22"/>
          <w:lang w:eastAsia="en-GB"/>
        </w:rPr>
        <w:t xml:space="preserve">Str. Vasko </w:t>
      </w:r>
      <w:proofErr w:type="spellStart"/>
      <w:r w:rsidRPr="0060085B">
        <w:rPr>
          <w:rFonts w:ascii="Times New Roman" w:hAnsi="Times New Roman"/>
          <w:snapToGrid/>
          <w:color w:val="000000"/>
          <w:sz w:val="22"/>
          <w:szCs w:val="22"/>
          <w:lang w:eastAsia="en-GB"/>
        </w:rPr>
        <w:t>Karangeleski</w:t>
      </w:r>
      <w:proofErr w:type="spellEnd"/>
      <w:r w:rsidRPr="0060085B">
        <w:rPr>
          <w:rFonts w:ascii="Times New Roman" w:hAnsi="Times New Roman"/>
          <w:snapToGrid/>
          <w:color w:val="000000"/>
          <w:sz w:val="22"/>
          <w:szCs w:val="22"/>
          <w:lang w:eastAsia="en-GB"/>
        </w:rPr>
        <w:t xml:space="preserve"> BB, 1000, Skopje</w:t>
      </w:r>
    </w:p>
    <w:bookmarkEnd w:id="17"/>
    <w:p w14:paraId="6F4871FA" w14:textId="77777777" w:rsidR="0047783A" w:rsidRPr="00E82463" w:rsidRDefault="0047783A" w:rsidP="000D1B17">
      <w:pPr>
        <w:ind w:left="567"/>
        <w:jc w:val="both"/>
        <w:rPr>
          <w:rFonts w:ascii="Times New Roman" w:hAnsi="Times New Roman"/>
          <w:sz w:val="22"/>
        </w:rPr>
      </w:pPr>
      <w:r w:rsidRPr="00E82463">
        <w:rPr>
          <w:rFonts w:ascii="Times New Roman" w:hAnsi="Times New Roman"/>
          <w:sz w:val="22"/>
        </w:rPr>
        <w:t xml:space="preserve">If the tenders are hand </w:t>
      </w:r>
      <w:proofErr w:type="gramStart"/>
      <w:r w:rsidRPr="00E82463">
        <w:rPr>
          <w:rFonts w:ascii="Times New Roman" w:hAnsi="Times New Roman"/>
          <w:sz w:val="22"/>
        </w:rPr>
        <w:t>delivered</w:t>
      </w:r>
      <w:proofErr w:type="gramEnd"/>
      <w:r w:rsidRPr="00E82463">
        <w:rPr>
          <w:rFonts w:ascii="Times New Roman" w:hAnsi="Times New Roman"/>
          <w:sz w:val="22"/>
        </w:rPr>
        <w:t xml:space="preserve"> they should be delivered to the following address:</w:t>
      </w:r>
    </w:p>
    <w:p w14:paraId="175C0D88" w14:textId="77777777" w:rsidR="0060085B" w:rsidRPr="0060085B" w:rsidRDefault="0060085B" w:rsidP="0060085B">
      <w:pPr>
        <w:spacing w:before="240" w:after="0"/>
        <w:ind w:firstLine="567"/>
        <w:rPr>
          <w:rFonts w:ascii="Times New Roman" w:hAnsi="Times New Roman"/>
          <w:b/>
          <w:bCs/>
          <w:snapToGrid/>
          <w:color w:val="000000"/>
          <w:sz w:val="22"/>
          <w:szCs w:val="22"/>
          <w:lang w:eastAsia="en-GB"/>
        </w:rPr>
      </w:pPr>
      <w:r w:rsidRPr="0060085B">
        <w:rPr>
          <w:rFonts w:ascii="Times New Roman" w:hAnsi="Times New Roman"/>
          <w:b/>
          <w:bCs/>
          <w:snapToGrid/>
          <w:color w:val="000000"/>
          <w:sz w:val="22"/>
          <w:szCs w:val="22"/>
          <w:lang w:eastAsia="en-GB"/>
        </w:rPr>
        <w:t xml:space="preserve">Military academy „General Mihailo </w:t>
      </w:r>
      <w:proofErr w:type="spellStart"/>
      <w:r w:rsidRPr="0060085B">
        <w:rPr>
          <w:rFonts w:ascii="Times New Roman" w:hAnsi="Times New Roman"/>
          <w:b/>
          <w:bCs/>
          <w:snapToGrid/>
          <w:color w:val="000000"/>
          <w:sz w:val="22"/>
          <w:szCs w:val="22"/>
          <w:lang w:eastAsia="en-GB"/>
        </w:rPr>
        <w:t>Apostolski</w:t>
      </w:r>
      <w:proofErr w:type="spellEnd"/>
      <w:r w:rsidRPr="0060085B">
        <w:rPr>
          <w:rFonts w:ascii="Times New Roman" w:hAnsi="Times New Roman"/>
          <w:b/>
          <w:bCs/>
          <w:snapToGrid/>
          <w:color w:val="000000"/>
          <w:sz w:val="22"/>
          <w:szCs w:val="22"/>
          <w:lang w:eastAsia="en-GB"/>
        </w:rPr>
        <w:t xml:space="preserve"> “– Skopje</w:t>
      </w:r>
    </w:p>
    <w:p w14:paraId="417FE38A" w14:textId="59333FE5" w:rsidR="0060085B" w:rsidRDefault="0060085B" w:rsidP="0060085B">
      <w:pPr>
        <w:spacing w:before="240" w:after="0"/>
        <w:ind w:firstLine="567"/>
        <w:rPr>
          <w:rFonts w:ascii="Times New Roman" w:hAnsi="Times New Roman"/>
          <w:snapToGrid/>
          <w:color w:val="000000"/>
          <w:sz w:val="22"/>
          <w:szCs w:val="22"/>
          <w:lang w:eastAsia="en-GB"/>
        </w:rPr>
      </w:pPr>
      <w:r w:rsidRPr="0060085B">
        <w:rPr>
          <w:rFonts w:ascii="Times New Roman" w:hAnsi="Times New Roman"/>
          <w:snapToGrid/>
          <w:color w:val="000000"/>
          <w:sz w:val="22"/>
          <w:szCs w:val="22"/>
          <w:lang w:eastAsia="en-GB"/>
        </w:rPr>
        <w:t xml:space="preserve">Str. Vasko </w:t>
      </w:r>
      <w:proofErr w:type="spellStart"/>
      <w:r w:rsidRPr="0060085B">
        <w:rPr>
          <w:rFonts w:ascii="Times New Roman" w:hAnsi="Times New Roman"/>
          <w:snapToGrid/>
          <w:color w:val="000000"/>
          <w:sz w:val="22"/>
          <w:szCs w:val="22"/>
          <w:lang w:eastAsia="en-GB"/>
        </w:rPr>
        <w:t>Karangeleski</w:t>
      </w:r>
      <w:proofErr w:type="spellEnd"/>
      <w:r w:rsidRPr="0060085B">
        <w:rPr>
          <w:rFonts w:ascii="Times New Roman" w:hAnsi="Times New Roman"/>
          <w:snapToGrid/>
          <w:color w:val="000000"/>
          <w:sz w:val="22"/>
          <w:szCs w:val="22"/>
          <w:lang w:eastAsia="en-GB"/>
        </w:rPr>
        <w:t xml:space="preserve"> BB, 1000, Skopje</w:t>
      </w:r>
    </w:p>
    <w:p w14:paraId="1E272CFA" w14:textId="77777777" w:rsidR="003A1270" w:rsidRDefault="003A1270" w:rsidP="0060085B">
      <w:pPr>
        <w:spacing w:before="240" w:after="0"/>
        <w:ind w:firstLine="567"/>
        <w:rPr>
          <w:rFonts w:ascii="Times New Roman" w:hAnsi="Times New Roman"/>
          <w:snapToGrid/>
          <w:color w:val="000000"/>
          <w:sz w:val="22"/>
          <w:szCs w:val="22"/>
          <w:lang w:eastAsia="en-GB"/>
        </w:rPr>
      </w:pPr>
    </w:p>
    <w:p w14:paraId="236FC6F1" w14:textId="329C2580" w:rsidR="0060085B" w:rsidRPr="003A1270" w:rsidRDefault="003A1270" w:rsidP="003A1270">
      <w:pPr>
        <w:spacing w:before="0"/>
        <w:ind w:left="567"/>
        <w:jc w:val="both"/>
        <w:outlineLvl w:val="0"/>
        <w:rPr>
          <w:rFonts w:ascii="Times New Roman" w:hAnsi="Times New Roman"/>
          <w:b/>
          <w:sz w:val="22"/>
          <w:szCs w:val="22"/>
        </w:rPr>
      </w:pPr>
      <w:r w:rsidRPr="003A1270">
        <w:rPr>
          <w:rFonts w:ascii="Times New Roman" w:hAnsi="Times New Roman"/>
          <w:b/>
          <w:sz w:val="22"/>
          <w:szCs w:val="22"/>
        </w:rPr>
        <w:t xml:space="preserve">Working hours: 08.00 h – 16.00 h </w:t>
      </w:r>
    </w:p>
    <w:p w14:paraId="229D1FE6" w14:textId="77777777" w:rsidR="0047783A" w:rsidRPr="00E82463" w:rsidRDefault="0047783A" w:rsidP="000D1B17">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14:paraId="6CCE0F43" w14:textId="785C645F" w:rsidR="001F026B" w:rsidRPr="001F026B" w:rsidRDefault="0047783A" w:rsidP="001F026B">
      <w:pPr>
        <w:pStyle w:val="Heading2"/>
        <w:ind w:left="567" w:hanging="567"/>
        <w:jc w:val="both"/>
        <w:rPr>
          <w:rFonts w:ascii="Times New Roman" w:hAnsi="Times New Roman"/>
          <w:lang w:val="en-GB"/>
        </w:rPr>
      </w:pPr>
      <w:bookmarkStart w:id="18" w:name="_Ref500330141"/>
      <w:r w:rsidRPr="00E82463">
        <w:rPr>
          <w:rFonts w:ascii="Times New Roman" w:hAnsi="Times New Roman"/>
          <w:sz w:val="22"/>
          <w:lang w:val="en-GB"/>
        </w:rPr>
        <w:t>10.2</w:t>
      </w:r>
      <w:r w:rsidRPr="00E82463">
        <w:rPr>
          <w:rFonts w:ascii="Times New Roman" w:hAnsi="Times New Roman"/>
          <w:sz w:val="22"/>
          <w:lang w:val="en-GB"/>
        </w:rPr>
        <w:tab/>
      </w:r>
      <w:bookmarkEnd w:id="18"/>
      <w:r w:rsidR="001F026B" w:rsidRPr="001F026B">
        <w:rPr>
          <w:rFonts w:ascii="Times New Roman" w:hAnsi="Times New Roman"/>
          <w:sz w:val="22"/>
          <w:lang w:val="en-GB"/>
        </w:rPr>
        <w:t>All tenders must be submitted in one original, marked ‘original’, and 1 (one) copy signed in the same way as the original and marked ‘copy’.</w:t>
      </w:r>
    </w:p>
    <w:p w14:paraId="382C61AB" w14:textId="02FCD95F" w:rsidR="001F026B" w:rsidRPr="001F026B" w:rsidRDefault="001F026B" w:rsidP="001F026B">
      <w:pPr>
        <w:keepNext/>
        <w:ind w:left="567" w:hanging="567"/>
        <w:jc w:val="both"/>
        <w:outlineLvl w:val="1"/>
        <w:rPr>
          <w:rFonts w:ascii="Times New Roman" w:hAnsi="Times New Roman"/>
          <w:sz w:val="22"/>
        </w:rPr>
      </w:pPr>
      <w:r w:rsidRPr="001F026B">
        <w:rPr>
          <w:rFonts w:ascii="Times New Roman" w:hAnsi="Times New Roman"/>
          <w:sz w:val="22"/>
        </w:rPr>
        <w:t>10.3</w:t>
      </w:r>
      <w:r w:rsidRPr="001F026B">
        <w:rPr>
          <w:rFonts w:ascii="Times New Roman" w:hAnsi="Times New Roman"/>
          <w:sz w:val="22"/>
        </w:rPr>
        <w:tab/>
        <w:t xml:space="preserve">All tenders must be received at </w:t>
      </w:r>
      <w:r>
        <w:rPr>
          <w:rFonts w:ascii="Times New Roman" w:hAnsi="Times New Roman"/>
          <w:sz w:val="22"/>
        </w:rPr>
        <w:t xml:space="preserve">Military Academy </w:t>
      </w:r>
      <w:r>
        <w:rPr>
          <w:rFonts w:ascii="Times New Roman" w:hAnsi="Times New Roman"/>
          <w:sz w:val="22"/>
          <w:lang w:val="mk-MK"/>
        </w:rPr>
        <w:t>„</w:t>
      </w:r>
      <w:r>
        <w:rPr>
          <w:rFonts w:ascii="Times New Roman" w:hAnsi="Times New Roman"/>
          <w:sz w:val="22"/>
          <w:lang w:val="en-US"/>
        </w:rPr>
        <w:t xml:space="preserve">General Mihailo </w:t>
      </w:r>
      <w:proofErr w:type="spellStart"/>
      <w:proofErr w:type="gramStart"/>
      <w:r>
        <w:rPr>
          <w:rFonts w:ascii="Times New Roman" w:hAnsi="Times New Roman"/>
          <w:sz w:val="22"/>
          <w:lang w:val="en-US"/>
        </w:rPr>
        <w:t>Apostolski</w:t>
      </w:r>
      <w:proofErr w:type="spellEnd"/>
      <w:r>
        <w:rPr>
          <w:rFonts w:ascii="Times New Roman" w:hAnsi="Times New Roman"/>
          <w:sz w:val="22"/>
          <w:lang w:val="mk-MK"/>
        </w:rPr>
        <w:t>“</w:t>
      </w:r>
      <w:proofErr w:type="gramEnd"/>
      <w:r w:rsidR="001B5A18">
        <w:rPr>
          <w:rFonts w:ascii="Times New Roman" w:hAnsi="Times New Roman"/>
          <w:sz w:val="22"/>
          <w:lang w:val="en-US"/>
        </w:rPr>
        <w:t xml:space="preserve">-Skopje, str. Vasko </w:t>
      </w:r>
      <w:proofErr w:type="spellStart"/>
      <w:r w:rsidR="001B5A18">
        <w:rPr>
          <w:rFonts w:ascii="Times New Roman" w:hAnsi="Times New Roman"/>
          <w:sz w:val="22"/>
          <w:lang w:val="en-US"/>
        </w:rPr>
        <w:t>Karangeleski</w:t>
      </w:r>
      <w:proofErr w:type="spellEnd"/>
      <w:r w:rsidR="001B5A18">
        <w:rPr>
          <w:rFonts w:ascii="Times New Roman" w:hAnsi="Times New Roman"/>
          <w:sz w:val="22"/>
          <w:lang w:val="en-US"/>
        </w:rPr>
        <w:t xml:space="preserve"> BB 1000 Skopje</w:t>
      </w:r>
      <w:r w:rsidRPr="001F026B">
        <w:rPr>
          <w:rFonts w:ascii="Times New Roman" w:hAnsi="Times New Roman"/>
          <w:sz w:val="22"/>
        </w:rPr>
        <w:t xml:space="preserve">, before the deadline </w:t>
      </w:r>
      <w:r w:rsidR="00B9195F">
        <w:rPr>
          <w:rFonts w:ascii="Times New Roman" w:hAnsi="Times New Roman"/>
          <w:sz w:val="22"/>
          <w:lang w:val="mk-MK"/>
        </w:rPr>
        <w:t>19</w:t>
      </w:r>
      <w:r w:rsidRPr="001F026B">
        <w:rPr>
          <w:rFonts w:ascii="Times New Roman" w:hAnsi="Times New Roman"/>
          <w:sz w:val="22"/>
        </w:rPr>
        <w:t>.0</w:t>
      </w:r>
      <w:r w:rsidR="008E68DF">
        <w:rPr>
          <w:rFonts w:ascii="Times New Roman" w:hAnsi="Times New Roman"/>
          <w:sz w:val="22"/>
          <w:lang w:val="mk-MK"/>
        </w:rPr>
        <w:t>5</w:t>
      </w:r>
      <w:r w:rsidRPr="001F026B">
        <w:rPr>
          <w:rFonts w:ascii="Times New Roman" w:hAnsi="Times New Roman"/>
          <w:sz w:val="22"/>
        </w:rPr>
        <w:t>.20</w:t>
      </w:r>
      <w:r w:rsidR="001B5A18">
        <w:rPr>
          <w:rFonts w:ascii="Times New Roman" w:hAnsi="Times New Roman"/>
          <w:sz w:val="22"/>
        </w:rPr>
        <w:t>22</w:t>
      </w:r>
      <w:r w:rsidRPr="001F026B">
        <w:rPr>
          <w:rFonts w:ascii="Times New Roman" w:hAnsi="Times New Roman"/>
          <w:sz w:val="22"/>
        </w:rPr>
        <w:t xml:space="preserve"> at 1</w:t>
      </w:r>
      <w:r w:rsidR="001B5A18">
        <w:rPr>
          <w:rFonts w:ascii="Times New Roman" w:hAnsi="Times New Roman"/>
          <w:sz w:val="22"/>
        </w:rPr>
        <w:t>4</w:t>
      </w:r>
      <w:r w:rsidRPr="001F026B">
        <w:rPr>
          <w:rFonts w:ascii="Times New Roman" w:hAnsi="Times New Roman"/>
          <w:sz w:val="22"/>
        </w:rPr>
        <w:t xml:space="preserve">:00h, by registered letter with acknowledgement of receipt or hand-delivered against receipt signed by the Contracting </w:t>
      </w:r>
      <w:proofErr w:type="spellStart"/>
      <w:r w:rsidRPr="001F026B">
        <w:rPr>
          <w:rFonts w:ascii="Times New Roman" w:hAnsi="Times New Roman"/>
          <w:sz w:val="22"/>
        </w:rPr>
        <w:t>Authoriy</w:t>
      </w:r>
      <w:proofErr w:type="spellEnd"/>
      <w:r w:rsidRPr="001F026B">
        <w:rPr>
          <w:rFonts w:ascii="Times New Roman" w:hAnsi="Times New Roman"/>
          <w:sz w:val="22"/>
        </w:rPr>
        <w:t xml:space="preserve"> or its representative.</w:t>
      </w:r>
    </w:p>
    <w:p w14:paraId="19D51B68" w14:textId="19ABBF5B" w:rsidR="0086759F" w:rsidRDefault="0086759F" w:rsidP="001F026B">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2"/>
      </w:r>
    </w:p>
    <w:p w14:paraId="6A8B411A" w14:textId="77777777"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14:paraId="7B4D7216" w14:textId="77777777" w:rsidR="008B2A9C" w:rsidRPr="002B78A7" w:rsidRDefault="008B2A9C" w:rsidP="002B78A7">
      <w:pPr>
        <w:pStyle w:val="Heading2"/>
        <w:keepNext w:val="0"/>
        <w:ind w:left="567"/>
        <w:jc w:val="both"/>
        <w:rPr>
          <w:lang w:val="en-IE"/>
        </w:rPr>
      </w:pPr>
      <w:r w:rsidRPr="000D1B17">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0D1B17">
        <w:rPr>
          <w:rFonts w:ascii="Times New Roman" w:hAnsi="Times New Roman"/>
          <w:sz w:val="22"/>
          <w:szCs w:val="22"/>
          <w:lang w:val="en-GB"/>
        </w:rPr>
        <w:t xml:space="preserve"> </w:t>
      </w:r>
      <w:r w:rsidRPr="000D1B17">
        <w:rPr>
          <w:rFonts w:ascii="Times New Roman" w:hAnsi="Times New Roman"/>
          <w:sz w:val="22"/>
          <w:szCs w:val="22"/>
          <w:lang w:val="en-GB"/>
        </w:rPr>
        <w:t>or jeopardise decisions already taken and notified</w:t>
      </w:r>
      <w:r w:rsidRPr="000D1B17">
        <w:rPr>
          <w:lang w:val="en-GB"/>
        </w:rPr>
        <w:t>.</w:t>
      </w:r>
    </w:p>
    <w:p w14:paraId="651EA88E" w14:textId="77777777" w:rsidR="0047783A" w:rsidRPr="002B78A7" w:rsidRDefault="0047783A" w:rsidP="002B78A7">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10.4</w:t>
      </w:r>
      <w:r w:rsidRPr="000D1B17">
        <w:rPr>
          <w:rFonts w:ascii="Times New Roman" w:hAnsi="Times New Roman"/>
          <w:sz w:val="22"/>
          <w:lang w:val="en-GB"/>
        </w:rPr>
        <w:tab/>
        <w:t>All tenders, including annexes and all supporting documents, must be submitted in a sealed envelope bearing only:</w:t>
      </w:r>
    </w:p>
    <w:p w14:paraId="64354572" w14:textId="77777777"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a)</w:t>
      </w:r>
      <w:r w:rsidRPr="000D1B17">
        <w:rPr>
          <w:rFonts w:ascii="Times New Roman" w:hAnsi="Times New Roman"/>
          <w:sz w:val="22"/>
          <w:lang w:val="en-GB"/>
        </w:rPr>
        <w:tab/>
        <w:t xml:space="preserve">the above </w:t>
      </w:r>
      <w:proofErr w:type="gramStart"/>
      <w:r w:rsidRPr="000D1B17">
        <w:rPr>
          <w:rFonts w:ascii="Times New Roman" w:hAnsi="Times New Roman"/>
          <w:sz w:val="22"/>
          <w:lang w:val="en-GB"/>
        </w:rPr>
        <w:t>address;</w:t>
      </w:r>
      <w:proofErr w:type="gramEnd"/>
    </w:p>
    <w:p w14:paraId="6AB61BE6" w14:textId="44C46B30"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lastRenderedPageBreak/>
        <w:t>b)</w:t>
      </w:r>
      <w:r w:rsidRPr="000D1B17">
        <w:rPr>
          <w:rFonts w:ascii="Times New Roman" w:hAnsi="Times New Roman"/>
          <w:sz w:val="22"/>
          <w:lang w:val="en-GB"/>
        </w:rPr>
        <w:tab/>
        <w:t>the reference code of this tender procedure, (</w:t>
      </w:r>
      <w:proofErr w:type="gramStart"/>
      <w:r w:rsidRPr="000D1B17">
        <w:rPr>
          <w:rFonts w:ascii="Times New Roman" w:hAnsi="Times New Roman"/>
          <w:sz w:val="22"/>
          <w:lang w:val="en-GB"/>
        </w:rPr>
        <w:t>i.e.</w:t>
      </w:r>
      <w:proofErr w:type="gramEnd"/>
      <w:r w:rsidRPr="000D1B17">
        <w:rPr>
          <w:rFonts w:ascii="Times New Roman" w:hAnsi="Times New Roman"/>
          <w:sz w:val="22"/>
          <w:lang w:val="en-GB"/>
        </w:rPr>
        <w:t xml:space="preserve"> </w:t>
      </w:r>
      <w:r w:rsidR="00BB779B" w:rsidRPr="00EA27C1">
        <w:rPr>
          <w:lang w:val="en-GB"/>
        </w:rPr>
        <w:t>PREVEN-T – CN2 – SO2.4 – SC049</w:t>
      </w:r>
      <w:r w:rsidRPr="000D1B17">
        <w:rPr>
          <w:rFonts w:ascii="Times New Roman" w:hAnsi="Times New Roman"/>
          <w:sz w:val="22"/>
          <w:lang w:val="en-GB"/>
        </w:rPr>
        <w:t>);</w:t>
      </w:r>
    </w:p>
    <w:p w14:paraId="67593F90" w14:textId="77777777"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c)</w:t>
      </w:r>
      <w:r w:rsidRPr="002B78A7">
        <w:rPr>
          <w:rFonts w:ascii="Times New Roman" w:hAnsi="Times New Roman"/>
          <w:sz w:val="22"/>
          <w:lang w:val="en-IE"/>
        </w:rPr>
        <w:tab/>
        <w:t xml:space="preserve">where applicable, the number of the lot(s) tendered </w:t>
      </w:r>
      <w:proofErr w:type="gramStart"/>
      <w:r w:rsidRPr="002B78A7">
        <w:rPr>
          <w:rFonts w:ascii="Times New Roman" w:hAnsi="Times New Roman"/>
          <w:sz w:val="22"/>
          <w:lang w:val="en-IE"/>
        </w:rPr>
        <w:t>for;</w:t>
      </w:r>
      <w:proofErr w:type="gramEnd"/>
    </w:p>
    <w:p w14:paraId="65E85E90" w14:textId="6D81E96C" w:rsidR="0047783A" w:rsidRPr="002B78A7" w:rsidRDefault="0047783A" w:rsidP="002B78A7">
      <w:pPr>
        <w:pStyle w:val="Heading2"/>
        <w:keepNext w:val="0"/>
        <w:ind w:left="1418" w:hanging="851"/>
        <w:jc w:val="both"/>
        <w:rPr>
          <w:rFonts w:ascii="Times New Roman" w:hAnsi="Times New Roman"/>
          <w:sz w:val="22"/>
          <w:lang w:val="en-IE"/>
        </w:rPr>
      </w:pPr>
      <w:r w:rsidRPr="002B78A7">
        <w:rPr>
          <w:rFonts w:ascii="Times New Roman" w:hAnsi="Times New Roman"/>
          <w:sz w:val="22"/>
          <w:lang w:val="en-IE"/>
        </w:rPr>
        <w:t>d)</w:t>
      </w:r>
      <w:r w:rsidRPr="002B78A7">
        <w:rPr>
          <w:rFonts w:ascii="Times New Roman" w:hAnsi="Times New Roman"/>
          <w:sz w:val="22"/>
          <w:lang w:val="en-IE"/>
        </w:rPr>
        <w:tab/>
        <w:t xml:space="preserve">the words </w:t>
      </w:r>
      <w:r w:rsidR="006A5F84" w:rsidRPr="002B78A7">
        <w:rPr>
          <w:rFonts w:ascii="Times New Roman" w:hAnsi="Times New Roman"/>
          <w:sz w:val="22"/>
          <w:lang w:val="en-IE"/>
        </w:rPr>
        <w:t>‘</w:t>
      </w:r>
      <w:r w:rsidRPr="002B78A7">
        <w:rPr>
          <w:rFonts w:ascii="Times New Roman" w:hAnsi="Times New Roman"/>
          <w:sz w:val="22"/>
          <w:lang w:val="en-IE"/>
        </w:rPr>
        <w:t>Not to be opened before the tender opening session</w:t>
      </w:r>
      <w:r w:rsidR="006A5F84" w:rsidRPr="002B78A7">
        <w:rPr>
          <w:rFonts w:ascii="Times New Roman" w:hAnsi="Times New Roman"/>
          <w:sz w:val="22"/>
          <w:lang w:val="en-IE"/>
        </w:rPr>
        <w:t>’</w:t>
      </w:r>
      <w:r w:rsidRPr="002B78A7">
        <w:rPr>
          <w:rFonts w:ascii="Times New Roman" w:hAnsi="Times New Roman"/>
          <w:sz w:val="22"/>
          <w:lang w:val="en-IE"/>
        </w:rPr>
        <w:t xml:space="preserve"> in the language of the tender dossier and </w:t>
      </w:r>
      <w:r w:rsidR="003F7D9E" w:rsidRPr="003F7D9E">
        <w:rPr>
          <w:rFonts w:ascii="Times New Roman" w:hAnsi="Times New Roman"/>
          <w:sz w:val="22"/>
          <w:lang w:val="en-GB"/>
        </w:rPr>
        <w:t>‘</w:t>
      </w:r>
      <w:proofErr w:type="spellStart"/>
      <w:r w:rsidR="003F7D9E" w:rsidRPr="003F7D9E">
        <w:rPr>
          <w:rFonts w:ascii="Times New Roman" w:hAnsi="Times New Roman"/>
          <w:sz w:val="22"/>
          <w:lang w:val="en-GB"/>
        </w:rPr>
        <w:t>Да</w:t>
      </w:r>
      <w:proofErr w:type="spellEnd"/>
      <w:r w:rsidR="003F7D9E" w:rsidRPr="003F7D9E">
        <w:rPr>
          <w:rFonts w:ascii="Times New Roman" w:hAnsi="Times New Roman"/>
          <w:sz w:val="22"/>
          <w:lang w:val="en-GB"/>
        </w:rPr>
        <w:t xml:space="preserve"> </w:t>
      </w:r>
      <w:proofErr w:type="spellStart"/>
      <w:r w:rsidR="003F7D9E" w:rsidRPr="003F7D9E">
        <w:rPr>
          <w:rFonts w:ascii="Times New Roman" w:hAnsi="Times New Roman"/>
          <w:sz w:val="22"/>
          <w:lang w:val="en-GB"/>
        </w:rPr>
        <w:t>не</w:t>
      </w:r>
      <w:proofErr w:type="spellEnd"/>
      <w:r w:rsidR="003F7D9E" w:rsidRPr="003F7D9E">
        <w:rPr>
          <w:rFonts w:ascii="Times New Roman" w:hAnsi="Times New Roman"/>
          <w:sz w:val="22"/>
          <w:lang w:val="en-GB"/>
        </w:rPr>
        <w:t xml:space="preserve"> </w:t>
      </w:r>
      <w:proofErr w:type="spellStart"/>
      <w:r w:rsidR="003F7D9E" w:rsidRPr="003F7D9E">
        <w:rPr>
          <w:rFonts w:ascii="Times New Roman" w:hAnsi="Times New Roman"/>
          <w:sz w:val="22"/>
          <w:lang w:val="en-GB"/>
        </w:rPr>
        <w:t>се</w:t>
      </w:r>
      <w:proofErr w:type="spellEnd"/>
      <w:r w:rsidR="003F7D9E" w:rsidRPr="003F7D9E">
        <w:rPr>
          <w:rFonts w:ascii="Times New Roman" w:hAnsi="Times New Roman"/>
          <w:sz w:val="22"/>
          <w:lang w:val="en-GB"/>
        </w:rPr>
        <w:t xml:space="preserve"> </w:t>
      </w:r>
      <w:proofErr w:type="spellStart"/>
      <w:r w:rsidR="003F7D9E" w:rsidRPr="003F7D9E">
        <w:rPr>
          <w:rFonts w:ascii="Times New Roman" w:hAnsi="Times New Roman"/>
          <w:sz w:val="22"/>
          <w:lang w:val="en-GB"/>
        </w:rPr>
        <w:t>отвaра</w:t>
      </w:r>
      <w:proofErr w:type="spellEnd"/>
      <w:r w:rsidR="003F7D9E" w:rsidRPr="003F7D9E">
        <w:rPr>
          <w:rFonts w:ascii="Times New Roman" w:hAnsi="Times New Roman"/>
          <w:sz w:val="22"/>
          <w:lang w:val="en-GB"/>
        </w:rPr>
        <w:t xml:space="preserve"> </w:t>
      </w:r>
      <w:proofErr w:type="spellStart"/>
      <w:r w:rsidR="003F7D9E" w:rsidRPr="003F7D9E">
        <w:rPr>
          <w:rFonts w:ascii="Times New Roman" w:hAnsi="Times New Roman"/>
          <w:sz w:val="22"/>
          <w:lang w:val="en-GB"/>
        </w:rPr>
        <w:t>пред</w:t>
      </w:r>
      <w:proofErr w:type="spellEnd"/>
      <w:r w:rsidR="003F7D9E" w:rsidRPr="003F7D9E">
        <w:rPr>
          <w:rFonts w:ascii="Times New Roman" w:hAnsi="Times New Roman"/>
          <w:sz w:val="22"/>
          <w:lang w:val="en-GB"/>
        </w:rPr>
        <w:t xml:space="preserve"> </w:t>
      </w:r>
      <w:proofErr w:type="spellStart"/>
      <w:r w:rsidR="003F7D9E" w:rsidRPr="003F7D9E">
        <w:rPr>
          <w:rFonts w:ascii="Times New Roman" w:hAnsi="Times New Roman"/>
          <w:sz w:val="22"/>
          <w:lang w:val="en-GB"/>
        </w:rPr>
        <w:t>јавно</w:t>
      </w:r>
      <w:proofErr w:type="spellEnd"/>
      <w:r w:rsidR="003F7D9E" w:rsidRPr="003F7D9E">
        <w:rPr>
          <w:rFonts w:ascii="Times New Roman" w:hAnsi="Times New Roman"/>
          <w:sz w:val="22"/>
          <w:lang w:val="en-GB"/>
        </w:rPr>
        <w:t xml:space="preserve"> </w:t>
      </w:r>
      <w:proofErr w:type="spellStart"/>
      <w:r w:rsidR="003F7D9E" w:rsidRPr="003F7D9E">
        <w:rPr>
          <w:rFonts w:ascii="Times New Roman" w:hAnsi="Times New Roman"/>
          <w:sz w:val="22"/>
          <w:lang w:val="en-GB"/>
        </w:rPr>
        <w:t>отвoрање</w:t>
      </w:r>
      <w:proofErr w:type="spellEnd"/>
      <w:r w:rsidR="003F7D9E" w:rsidRPr="003F7D9E">
        <w:rPr>
          <w:rFonts w:ascii="Times New Roman" w:hAnsi="Times New Roman"/>
          <w:sz w:val="22"/>
          <w:lang w:val="en-GB"/>
        </w:rPr>
        <w:t xml:space="preserve"> </w:t>
      </w:r>
      <w:proofErr w:type="spellStart"/>
      <w:r w:rsidR="003F7D9E" w:rsidRPr="003F7D9E">
        <w:rPr>
          <w:rFonts w:ascii="Times New Roman" w:hAnsi="Times New Roman"/>
          <w:sz w:val="22"/>
          <w:lang w:val="en-GB"/>
        </w:rPr>
        <w:t>на</w:t>
      </w:r>
      <w:proofErr w:type="spellEnd"/>
      <w:r w:rsidR="003F7D9E" w:rsidRPr="003F7D9E">
        <w:rPr>
          <w:rFonts w:ascii="Times New Roman" w:hAnsi="Times New Roman"/>
          <w:sz w:val="22"/>
          <w:lang w:val="en-GB"/>
        </w:rPr>
        <w:t xml:space="preserve"> </w:t>
      </w:r>
      <w:proofErr w:type="spellStart"/>
      <w:r w:rsidR="003F7D9E" w:rsidRPr="003F7D9E">
        <w:rPr>
          <w:rFonts w:ascii="Times New Roman" w:hAnsi="Times New Roman"/>
          <w:sz w:val="22"/>
          <w:lang w:val="en-GB"/>
        </w:rPr>
        <w:t>понудите</w:t>
      </w:r>
      <w:proofErr w:type="spellEnd"/>
      <w:r w:rsidR="003F7D9E" w:rsidRPr="003F7D9E">
        <w:rPr>
          <w:rFonts w:ascii="Times New Roman" w:hAnsi="Times New Roman"/>
          <w:sz w:val="22"/>
          <w:lang w:val="en-GB"/>
        </w:rPr>
        <w:t>’</w:t>
      </w:r>
      <w:r w:rsidR="003F7D9E">
        <w:rPr>
          <w:rFonts w:ascii="Times New Roman" w:hAnsi="Times New Roman"/>
          <w:sz w:val="22"/>
          <w:lang w:val="en-GB"/>
        </w:rPr>
        <w:t>.</w:t>
      </w:r>
    </w:p>
    <w:p w14:paraId="1E809FB1" w14:textId="77777777"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e)</w:t>
      </w:r>
      <w:r w:rsidRPr="002B78A7">
        <w:rPr>
          <w:rFonts w:ascii="Times New Roman" w:hAnsi="Times New Roman"/>
          <w:sz w:val="22"/>
          <w:lang w:val="en-IE"/>
        </w:rPr>
        <w:tab/>
        <w:t>the name of the tenderer.</w:t>
      </w:r>
    </w:p>
    <w:p w14:paraId="589E5DA8" w14:textId="02CA7E64" w:rsidR="006E1DB1" w:rsidRPr="00082F02" w:rsidRDefault="0047783A" w:rsidP="00082F02">
      <w:pPr>
        <w:pStyle w:val="Heading2"/>
        <w:keepNext w:val="0"/>
        <w:ind w:left="567"/>
        <w:jc w:val="both"/>
        <w:rPr>
          <w:rFonts w:ascii="Times New Roman" w:hAnsi="Times New Roman"/>
          <w:sz w:val="22"/>
          <w:lang w:val="en-IE"/>
        </w:rPr>
      </w:pPr>
      <w:r w:rsidRPr="002B78A7">
        <w:rPr>
          <w:rFonts w:ascii="Times New Roman" w:hAnsi="Times New Roman"/>
          <w:sz w:val="22"/>
          <w:lang w:val="en-IE"/>
        </w:rPr>
        <w:t>The technical and financial offers must be placed together in a sealed envelope. The envelope should then be placed in another single sealed envelope/package, unless their volume requires a separate submission for each lot.</w:t>
      </w:r>
    </w:p>
    <w:p w14:paraId="4E7BD796" w14:textId="77777777" w:rsidR="0047783A" w:rsidRPr="00E82463" w:rsidRDefault="0047783A" w:rsidP="00A4424B">
      <w:pPr>
        <w:pStyle w:val="Heading1"/>
      </w:pPr>
      <w:bookmarkStart w:id="19" w:name="_Toc42488080"/>
      <w:r w:rsidRPr="00E82463">
        <w:t>Content of tenders</w:t>
      </w:r>
      <w:bookmarkEnd w:id="19"/>
    </w:p>
    <w:p w14:paraId="000A825E" w14:textId="77777777"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14:paraId="2E3800B4" w14:textId="77777777"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14:paraId="02227167" w14:textId="6FA95E02" w:rsidR="0047783A" w:rsidRPr="00BB0001" w:rsidRDefault="0047783A" w:rsidP="00BB0001">
      <w:pPr>
        <w:pStyle w:val="Heading2"/>
        <w:keepLines/>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w:t>
      </w:r>
      <w:r w:rsidR="00BB0001">
        <w:rPr>
          <w:rFonts w:ascii="Times New Roman" w:hAnsi="Times New Roman"/>
          <w:sz w:val="22"/>
          <w:szCs w:val="22"/>
          <w:lang w:val="en-GB"/>
        </w:rPr>
        <w:t>.</w:t>
      </w:r>
    </w:p>
    <w:p w14:paraId="6EEB9E15" w14:textId="37AC45A7" w:rsidR="00770B8E" w:rsidRPr="00770B8E" w:rsidRDefault="00177317" w:rsidP="00177317">
      <w:pPr>
        <w:ind w:left="1135" w:hanging="415"/>
        <w:jc w:val="both"/>
        <w:rPr>
          <w:rFonts w:ascii="Times New Roman" w:hAnsi="Times New Roman"/>
          <w:sz w:val="22"/>
          <w:szCs w:val="22"/>
        </w:rPr>
      </w:pPr>
      <w:r w:rsidRPr="00177317">
        <w:rPr>
          <w:rFonts w:ascii="Times New Roman" w:hAnsi="Times New Roman"/>
          <w:sz w:val="22"/>
          <w:szCs w:val="22"/>
        </w:rPr>
        <w:t>o</w:t>
      </w:r>
      <w:r w:rsidRPr="00177317">
        <w:rPr>
          <w:rFonts w:ascii="Times New Roman" w:hAnsi="Times New Roman"/>
          <w:sz w:val="22"/>
          <w:szCs w:val="22"/>
        </w:rPr>
        <w:tab/>
        <w:t xml:space="preserve">manufacture’s catalogue, technical brochures, technical data sheets etc. showing in details type, dimensions, size and description of the offered vehicles and/or technical documentation proving the required performance and parameters in order to verify the compliance with the technical </w:t>
      </w:r>
      <w:proofErr w:type="spellStart"/>
      <w:proofErr w:type="gramStart"/>
      <w:r w:rsidRPr="00177317">
        <w:rPr>
          <w:rFonts w:ascii="Times New Roman" w:hAnsi="Times New Roman"/>
          <w:sz w:val="22"/>
          <w:szCs w:val="22"/>
        </w:rPr>
        <w:t>specifications.The</w:t>
      </w:r>
      <w:proofErr w:type="spellEnd"/>
      <w:proofErr w:type="gramEnd"/>
      <w:r w:rsidRPr="00177317">
        <w:rPr>
          <w:rFonts w:ascii="Times New Roman" w:hAnsi="Times New Roman"/>
          <w:sz w:val="22"/>
          <w:szCs w:val="22"/>
        </w:rPr>
        <w:t xml:space="preserve"> technical offer should be presented as per template (Annex II+III*, Contractor’s technical offer) adding separate sheets for details if necessary.</w:t>
      </w:r>
    </w:p>
    <w:p w14:paraId="13AE78D4" w14:textId="77777777"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14:paraId="65B17D73" w14:textId="652698FD" w:rsidR="0070619F" w:rsidRPr="0070619F" w:rsidRDefault="0047783A" w:rsidP="0081347C">
      <w:pPr>
        <w:pStyle w:val="Heading2"/>
        <w:keepNext w:val="0"/>
        <w:numPr>
          <w:ilvl w:val="1"/>
          <w:numId w:val="10"/>
        </w:numPr>
        <w:tabs>
          <w:tab w:val="num" w:pos="1134"/>
        </w:tabs>
        <w:spacing w:before="0" w:after="0"/>
        <w:ind w:hanging="306"/>
        <w:rPr>
          <w:rFonts w:ascii="Times New Roman" w:hAnsi="Times New Roman"/>
          <w:sz w:val="22"/>
          <w:szCs w:val="22"/>
        </w:rPr>
      </w:pPr>
      <w:r w:rsidRPr="0070619F">
        <w:rPr>
          <w:rFonts w:ascii="Times New Roman" w:hAnsi="Times New Roman"/>
          <w:sz w:val="22"/>
          <w:szCs w:val="22"/>
          <w:lang w:val="en-GB"/>
        </w:rPr>
        <w:t>A financial offer calculated on a DDP</w:t>
      </w:r>
      <w:r w:rsidR="0070619F" w:rsidRPr="0070619F">
        <w:rPr>
          <w:rFonts w:ascii="Times New Roman" w:hAnsi="Times New Roman"/>
          <w:sz w:val="22"/>
          <w:szCs w:val="22"/>
          <w:lang w:val="en-GB"/>
        </w:rPr>
        <w:t xml:space="preserve"> </w:t>
      </w:r>
      <w:r w:rsidR="000665DF" w:rsidRPr="0070619F">
        <w:rPr>
          <w:rFonts w:ascii="Times New Roman" w:hAnsi="Times New Roman"/>
          <w:sz w:val="22"/>
          <w:szCs w:val="22"/>
          <w:lang w:val="en-GB"/>
        </w:rPr>
        <w:t xml:space="preserve">basis </w:t>
      </w:r>
      <w:r w:rsidRPr="0070619F">
        <w:rPr>
          <w:rFonts w:ascii="Times New Roman" w:hAnsi="Times New Roman"/>
          <w:sz w:val="22"/>
          <w:szCs w:val="22"/>
          <w:lang w:val="en-GB"/>
        </w:rPr>
        <w:t>for the supplies tendered</w:t>
      </w:r>
      <w:r w:rsidR="0070619F">
        <w:rPr>
          <w:rFonts w:ascii="Times New Roman" w:hAnsi="Times New Roman"/>
          <w:sz w:val="22"/>
          <w:szCs w:val="22"/>
          <w:lang w:val="en-GB"/>
        </w:rPr>
        <w:t>.</w:t>
      </w:r>
    </w:p>
    <w:p w14:paraId="5564146A" w14:textId="72F2FB2C" w:rsidR="0047783A" w:rsidRPr="00E82463" w:rsidRDefault="0047783A" w:rsidP="0070619F">
      <w:pPr>
        <w:pStyle w:val="Heading2"/>
        <w:keepNext w:val="0"/>
        <w:spacing w:before="0" w:after="0"/>
        <w:ind w:left="567"/>
        <w:rPr>
          <w:rFonts w:ascii="Times New Roman" w:hAnsi="Times New Roman"/>
          <w:sz w:val="22"/>
          <w:szCs w:val="22"/>
        </w:rPr>
      </w:pPr>
      <w:r w:rsidRPr="00E82463">
        <w:rPr>
          <w:rFonts w:ascii="Times New Roman" w:hAnsi="Times New Roman"/>
          <w:sz w:val="22"/>
          <w:szCs w:val="22"/>
        </w:rPr>
        <w:t xml:space="preserve">This </w:t>
      </w:r>
      <w:proofErr w:type="spellStart"/>
      <w:r w:rsidRPr="00E82463">
        <w:rPr>
          <w:rFonts w:ascii="Times New Roman" w:hAnsi="Times New Roman"/>
          <w:sz w:val="22"/>
          <w:szCs w:val="22"/>
        </w:rPr>
        <w:t>financial</w:t>
      </w:r>
      <w:proofErr w:type="spellEnd"/>
      <w:r w:rsidRPr="00E82463">
        <w:rPr>
          <w:rFonts w:ascii="Times New Roman" w:hAnsi="Times New Roman"/>
          <w:sz w:val="22"/>
          <w:szCs w:val="22"/>
        </w:rPr>
        <w:t xml:space="preserve"> </w:t>
      </w:r>
      <w:proofErr w:type="spellStart"/>
      <w:r w:rsidRPr="00E82463">
        <w:rPr>
          <w:rFonts w:ascii="Times New Roman" w:hAnsi="Times New Roman"/>
          <w:sz w:val="22"/>
          <w:szCs w:val="22"/>
        </w:rPr>
        <w:t>offer</w:t>
      </w:r>
      <w:proofErr w:type="spellEnd"/>
      <w:r w:rsidRPr="00E82463">
        <w:rPr>
          <w:rFonts w:ascii="Times New Roman" w:hAnsi="Times New Roman"/>
          <w:sz w:val="22"/>
          <w:szCs w:val="22"/>
        </w:rPr>
        <w:t xml:space="preserve"> </w:t>
      </w:r>
      <w:proofErr w:type="spellStart"/>
      <w:r w:rsidRPr="00E82463">
        <w:rPr>
          <w:rFonts w:ascii="Times New Roman" w:hAnsi="Times New Roman"/>
          <w:sz w:val="22"/>
          <w:szCs w:val="22"/>
        </w:rPr>
        <w:t>should</w:t>
      </w:r>
      <w:proofErr w:type="spellEnd"/>
      <w:r w:rsidRPr="00E82463">
        <w:rPr>
          <w:rFonts w:ascii="Times New Roman" w:hAnsi="Times New Roman"/>
          <w:sz w:val="22"/>
          <w:szCs w:val="22"/>
        </w:rPr>
        <w:t xml:space="preserve"> </w:t>
      </w:r>
      <w:proofErr w:type="spellStart"/>
      <w:r w:rsidRPr="00E82463">
        <w:rPr>
          <w:rFonts w:ascii="Times New Roman" w:hAnsi="Times New Roman"/>
          <w:sz w:val="22"/>
          <w:szCs w:val="22"/>
        </w:rPr>
        <w:t>be</w:t>
      </w:r>
      <w:proofErr w:type="spellEnd"/>
      <w:r w:rsidRPr="00E82463">
        <w:rPr>
          <w:rFonts w:ascii="Times New Roman" w:hAnsi="Times New Roman"/>
          <w:sz w:val="22"/>
          <w:szCs w:val="22"/>
        </w:rPr>
        <w:t xml:space="preserve"> </w:t>
      </w:r>
      <w:proofErr w:type="spellStart"/>
      <w:r w:rsidRPr="00E82463">
        <w:rPr>
          <w:rFonts w:ascii="Times New Roman" w:hAnsi="Times New Roman"/>
          <w:sz w:val="22"/>
          <w:szCs w:val="22"/>
        </w:rPr>
        <w:t>presented</w:t>
      </w:r>
      <w:proofErr w:type="spellEnd"/>
      <w:r w:rsidRPr="00E82463">
        <w:rPr>
          <w:rFonts w:ascii="Times New Roman" w:hAnsi="Times New Roman"/>
          <w:sz w:val="22"/>
          <w:szCs w:val="22"/>
        </w:rPr>
        <w:t xml:space="preserve"> as per </w:t>
      </w:r>
      <w:proofErr w:type="spellStart"/>
      <w:r w:rsidRPr="00E82463">
        <w:rPr>
          <w:rFonts w:ascii="Times New Roman" w:hAnsi="Times New Roman"/>
          <w:sz w:val="22"/>
          <w:szCs w:val="22"/>
        </w:rPr>
        <w:t>template</w:t>
      </w:r>
      <w:proofErr w:type="spellEnd"/>
      <w:r w:rsidRPr="00E82463">
        <w:rPr>
          <w:rFonts w:ascii="Times New Roman" w:hAnsi="Times New Roman"/>
          <w:sz w:val="22"/>
          <w:szCs w:val="22"/>
        </w:rPr>
        <w:t xml:space="preserv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w:t>
      </w:r>
      <w:proofErr w:type="spellStart"/>
      <w:r w:rsidR="000665DF" w:rsidRPr="00E82463">
        <w:rPr>
          <w:rFonts w:ascii="Times New Roman" w:hAnsi="Times New Roman"/>
          <w:sz w:val="22"/>
          <w:szCs w:val="22"/>
        </w:rPr>
        <w:t>adding</w:t>
      </w:r>
      <w:proofErr w:type="spellEnd"/>
      <w:r w:rsidR="000665DF" w:rsidRPr="00E82463">
        <w:rPr>
          <w:rFonts w:ascii="Times New Roman" w:hAnsi="Times New Roman"/>
          <w:sz w:val="22"/>
          <w:szCs w:val="22"/>
        </w:rPr>
        <w:t xml:space="preserve"> </w:t>
      </w:r>
      <w:proofErr w:type="spellStart"/>
      <w:r w:rsidRPr="00E82463">
        <w:rPr>
          <w:rFonts w:ascii="Times New Roman" w:hAnsi="Times New Roman"/>
          <w:sz w:val="22"/>
          <w:szCs w:val="22"/>
        </w:rPr>
        <w:t>separate</w:t>
      </w:r>
      <w:proofErr w:type="spellEnd"/>
      <w:r w:rsidRPr="00E82463">
        <w:rPr>
          <w:rFonts w:ascii="Times New Roman" w:hAnsi="Times New Roman"/>
          <w:sz w:val="22"/>
          <w:szCs w:val="22"/>
        </w:rPr>
        <w:t xml:space="preserve"> </w:t>
      </w:r>
      <w:proofErr w:type="spellStart"/>
      <w:r w:rsidRPr="00E82463">
        <w:rPr>
          <w:rFonts w:ascii="Times New Roman" w:hAnsi="Times New Roman"/>
          <w:sz w:val="22"/>
          <w:szCs w:val="22"/>
        </w:rPr>
        <w:t>sheets</w:t>
      </w:r>
      <w:proofErr w:type="spellEnd"/>
      <w:r w:rsidRPr="00E82463">
        <w:rPr>
          <w:rFonts w:ascii="Times New Roman" w:hAnsi="Times New Roman"/>
          <w:sz w:val="22"/>
          <w:szCs w:val="22"/>
        </w:rPr>
        <w:t xml:space="preserve"> for </w:t>
      </w:r>
      <w:proofErr w:type="spellStart"/>
      <w:r w:rsidRPr="00E82463">
        <w:rPr>
          <w:rFonts w:ascii="Times New Roman" w:hAnsi="Times New Roman"/>
          <w:sz w:val="22"/>
          <w:szCs w:val="22"/>
        </w:rPr>
        <w:t>details</w:t>
      </w:r>
      <w:proofErr w:type="spellEnd"/>
      <w:r w:rsidR="000665DF" w:rsidRPr="00E82463">
        <w:rPr>
          <w:rFonts w:ascii="Times New Roman" w:hAnsi="Times New Roman"/>
          <w:sz w:val="22"/>
          <w:szCs w:val="22"/>
        </w:rPr>
        <w:t xml:space="preserve"> if </w:t>
      </w:r>
      <w:proofErr w:type="spellStart"/>
      <w:r w:rsidR="000665DF" w:rsidRPr="00E82463">
        <w:rPr>
          <w:rFonts w:ascii="Times New Roman" w:hAnsi="Times New Roman"/>
          <w:sz w:val="22"/>
          <w:szCs w:val="22"/>
        </w:rPr>
        <w:t>necessary</w:t>
      </w:r>
      <w:proofErr w:type="spellEnd"/>
      <w:r w:rsidRPr="00E82463">
        <w:rPr>
          <w:rFonts w:ascii="Times New Roman" w:hAnsi="Times New Roman"/>
          <w:sz w:val="22"/>
          <w:szCs w:val="22"/>
        </w:rPr>
        <w:t>.</w:t>
      </w:r>
    </w:p>
    <w:p w14:paraId="7B6FF70D" w14:textId="1FEEC364" w:rsidR="0047783A" w:rsidRDefault="0047783A" w:rsidP="0047783A">
      <w:pPr>
        <w:numPr>
          <w:ilvl w:val="0"/>
          <w:numId w:val="6"/>
        </w:numPr>
        <w:ind w:left="1208" w:hanging="641"/>
        <w:rPr>
          <w:rFonts w:ascii="Times New Roman" w:hAnsi="Times New Roman"/>
          <w:sz w:val="22"/>
          <w:szCs w:val="22"/>
        </w:rPr>
      </w:pPr>
      <w:bookmarkStart w:id="20" w:name="_Hlk112600375"/>
      <w:r w:rsidRPr="00770B8E">
        <w:rPr>
          <w:rFonts w:ascii="Times New Roman" w:hAnsi="Times New Roman"/>
          <w:sz w:val="22"/>
          <w:szCs w:val="22"/>
        </w:rPr>
        <w:t xml:space="preserve">An electronic version of the financial offer </w:t>
      </w:r>
    </w:p>
    <w:p w14:paraId="25CA9ABD" w14:textId="4E5C1DA9" w:rsidR="003E5D4D" w:rsidRPr="00770B8E" w:rsidRDefault="003E5D4D" w:rsidP="003E5D4D">
      <w:pPr>
        <w:pBdr>
          <w:top w:val="single" w:sz="4" w:space="1" w:color="auto"/>
          <w:left w:val="single" w:sz="4" w:space="4" w:color="auto"/>
          <w:bottom w:val="single" w:sz="4" w:space="1" w:color="auto"/>
          <w:right w:val="single" w:sz="4" w:space="4" w:color="auto"/>
        </w:pBdr>
        <w:ind w:left="567"/>
        <w:jc w:val="both"/>
        <w:rPr>
          <w:rFonts w:ascii="Times New Roman" w:hAnsi="Times New Roman"/>
          <w:sz w:val="22"/>
          <w:szCs w:val="22"/>
        </w:rPr>
      </w:pPr>
      <w:r w:rsidRPr="003E5D4D">
        <w:rPr>
          <w:rFonts w:ascii="Times New Roman" w:hAnsi="Times New Roman"/>
          <w:sz w:val="22"/>
          <w:szCs w:val="22"/>
        </w:rPr>
        <w:t>In case of doubt about the applicable VAT system, it is the tenderer's responsibility to contact his or her national authorities to clarify the way in which the European Union is exempt from VAT.</w:t>
      </w:r>
    </w:p>
    <w:bookmarkEnd w:id="20"/>
    <w:p w14:paraId="1165B80B" w14:textId="77777777"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14:paraId="1C0CABF0" w14:textId="7E6AD14E" w:rsidR="0047783A" w:rsidRPr="00E82463" w:rsidRDefault="0047783A" w:rsidP="005C3E0E">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2D2CE863" w14:textId="77777777" w:rsidR="0047783A" w:rsidRPr="00E82463" w:rsidRDefault="0047783A" w:rsidP="00AC07D4">
      <w:pPr>
        <w:numPr>
          <w:ilvl w:val="0"/>
          <w:numId w:val="6"/>
        </w:numPr>
        <w:tabs>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2EDBDB68" w14:textId="77777777"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w:t>
      </w:r>
      <w:r w:rsidR="002D0CE1" w:rsidRPr="00E82463">
        <w:rPr>
          <w:rFonts w:ascii="Times New Roman" w:hAnsi="Times New Roman"/>
          <w:sz w:val="22"/>
          <w:szCs w:val="22"/>
        </w:rPr>
        <w:lastRenderedPageBreak/>
        <w:t xml:space="preserve">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14:paraId="437CFC86" w14:textId="77777777"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14:paraId="2CF06F0E" w14:textId="77777777"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14:paraId="1EE145C7" w14:textId="77777777"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14:paraId="068D379B" w14:textId="31C84C7E" w:rsidR="000D66C0" w:rsidRPr="005C3E0E" w:rsidRDefault="0047783A" w:rsidP="005C3E0E">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14:paraId="729AEC14" w14:textId="77777777"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14:paraId="3C5FB300"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3E62EB08" w14:textId="77777777"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14:paraId="73DF5830" w14:textId="77777777" w:rsidR="0047783A" w:rsidRPr="00E82463" w:rsidRDefault="0047783A" w:rsidP="00A4424B">
      <w:pPr>
        <w:pStyle w:val="Heading1"/>
      </w:pPr>
      <w:bookmarkStart w:id="21" w:name="_Toc42488081"/>
      <w:r w:rsidRPr="00E82463">
        <w:t xml:space="preserve">Taxes and </w:t>
      </w:r>
      <w:proofErr w:type="spellStart"/>
      <w:r w:rsidRPr="00E82463">
        <w:t>other</w:t>
      </w:r>
      <w:proofErr w:type="spellEnd"/>
      <w:r w:rsidRPr="00E82463">
        <w:t xml:space="preserve"> charges</w:t>
      </w:r>
      <w:bookmarkEnd w:id="21"/>
    </w:p>
    <w:p w14:paraId="5A4711D0" w14:textId="77777777"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14:paraId="5B905A35" w14:textId="2015B7F3" w:rsidR="004245B0" w:rsidRPr="004245B0" w:rsidRDefault="004245B0" w:rsidP="004245B0">
      <w:pPr>
        <w:tabs>
          <w:tab w:val="num" w:pos="567"/>
        </w:tabs>
        <w:spacing w:before="0"/>
        <w:ind w:left="567"/>
        <w:jc w:val="both"/>
        <w:outlineLvl w:val="1"/>
        <w:rPr>
          <w:rFonts w:ascii="Times New Roman" w:hAnsi="Times New Roman"/>
          <w:sz w:val="22"/>
        </w:rPr>
      </w:pPr>
      <w:r w:rsidRPr="004245B0">
        <w:rPr>
          <w:rFonts w:ascii="Times New Roman" w:hAnsi="Times New Roman"/>
          <w:sz w:val="22"/>
          <w:szCs w:val="22"/>
        </w:rPr>
        <w:t xml:space="preserve">The European Commission and The Republic of </w:t>
      </w:r>
      <w:r>
        <w:rPr>
          <w:rFonts w:ascii="Times New Roman" w:hAnsi="Times New Roman"/>
          <w:sz w:val="22"/>
          <w:szCs w:val="22"/>
        </w:rPr>
        <w:t xml:space="preserve">North </w:t>
      </w:r>
      <w:r w:rsidRPr="004245B0">
        <w:rPr>
          <w:rFonts w:ascii="Times New Roman" w:hAnsi="Times New Roman"/>
          <w:sz w:val="22"/>
          <w:szCs w:val="22"/>
        </w:rPr>
        <w:t xml:space="preserve">Macedonia have agreed in to allow full exemption from the following taxes, customs and other duties, excise tax and value added tax (VAT).The procedure is pursued by the entities responsible for implementation of projects financed with irreversible funds by foreign donors, for which the Government of the Republic of Macedonia and the foreign donors have </w:t>
      </w:r>
      <w:proofErr w:type="spellStart"/>
      <w:r w:rsidRPr="004245B0">
        <w:rPr>
          <w:rFonts w:ascii="Times New Roman" w:hAnsi="Times New Roman"/>
          <w:sz w:val="22"/>
          <w:szCs w:val="22"/>
        </w:rPr>
        <w:t>singed</w:t>
      </w:r>
      <w:proofErr w:type="spellEnd"/>
      <w:r w:rsidRPr="004245B0">
        <w:rPr>
          <w:rFonts w:ascii="Times New Roman" w:hAnsi="Times New Roman"/>
          <w:sz w:val="22"/>
          <w:szCs w:val="22"/>
        </w:rPr>
        <w:t xml:space="preserve"> agreements containing a clause that the donations </w:t>
      </w:r>
      <w:proofErr w:type="spellStart"/>
      <w:r w:rsidRPr="004245B0">
        <w:rPr>
          <w:rFonts w:ascii="Times New Roman" w:hAnsi="Times New Roman"/>
          <w:sz w:val="22"/>
          <w:szCs w:val="22"/>
        </w:rPr>
        <w:t>can not</w:t>
      </w:r>
      <w:proofErr w:type="spellEnd"/>
      <w:r w:rsidRPr="004245B0">
        <w:rPr>
          <w:rFonts w:ascii="Times New Roman" w:hAnsi="Times New Roman"/>
          <w:sz w:val="22"/>
          <w:szCs w:val="22"/>
        </w:rPr>
        <w:t xml:space="preserve"> be used for payment of public fees in the Republic of </w:t>
      </w:r>
      <w:r>
        <w:rPr>
          <w:rFonts w:ascii="Times New Roman" w:hAnsi="Times New Roman"/>
          <w:sz w:val="22"/>
          <w:szCs w:val="22"/>
        </w:rPr>
        <w:t xml:space="preserve">North </w:t>
      </w:r>
      <w:r w:rsidRPr="004245B0">
        <w:rPr>
          <w:rFonts w:ascii="Times New Roman" w:hAnsi="Times New Roman"/>
          <w:sz w:val="22"/>
          <w:szCs w:val="22"/>
        </w:rPr>
        <w:t xml:space="preserve">Macedonia. The invoices </w:t>
      </w:r>
      <w:proofErr w:type="gramStart"/>
      <w:r w:rsidRPr="004245B0">
        <w:rPr>
          <w:rFonts w:ascii="Times New Roman" w:hAnsi="Times New Roman"/>
          <w:sz w:val="22"/>
          <w:szCs w:val="22"/>
        </w:rPr>
        <w:t>have to</w:t>
      </w:r>
      <w:proofErr w:type="gramEnd"/>
      <w:r w:rsidRPr="004245B0">
        <w:rPr>
          <w:rFonts w:ascii="Times New Roman" w:hAnsi="Times New Roman"/>
          <w:sz w:val="22"/>
          <w:szCs w:val="22"/>
        </w:rPr>
        <w:t xml:space="preserve"> be issued through the system of Public Revenue Office of the Republic of Macedonia as the </w:t>
      </w:r>
      <w:r>
        <w:rPr>
          <w:rFonts w:ascii="Times New Roman" w:hAnsi="Times New Roman"/>
          <w:sz w:val="22"/>
          <w:szCs w:val="22"/>
        </w:rPr>
        <w:t>PREVEN-T</w:t>
      </w:r>
      <w:r w:rsidRPr="004245B0">
        <w:rPr>
          <w:rFonts w:ascii="Times New Roman" w:hAnsi="Times New Roman"/>
          <w:sz w:val="22"/>
          <w:szCs w:val="22"/>
        </w:rPr>
        <w:t xml:space="preserve"> Project is excluded from the tax system</w:t>
      </w:r>
      <w:r w:rsidRPr="004245B0">
        <w:rPr>
          <w:rFonts w:ascii="Times New Roman" w:hAnsi="Times New Roman"/>
          <w:sz w:val="22"/>
          <w:szCs w:val="22"/>
          <w:lang w:val="en-US"/>
        </w:rPr>
        <w:t>.</w:t>
      </w:r>
    </w:p>
    <w:p w14:paraId="09BFF538" w14:textId="1B6D260B" w:rsidR="0047783A" w:rsidRPr="00E82463" w:rsidRDefault="0047783A" w:rsidP="003051AA">
      <w:pPr>
        <w:pStyle w:val="Heading2"/>
        <w:keepNext w:val="0"/>
        <w:tabs>
          <w:tab w:val="num" w:pos="567"/>
        </w:tabs>
        <w:spacing w:before="0"/>
        <w:ind w:left="567"/>
        <w:jc w:val="both"/>
        <w:rPr>
          <w:rFonts w:ascii="Times New Roman" w:hAnsi="Times New Roman"/>
          <w:sz w:val="22"/>
          <w:lang w:val="en-GB"/>
        </w:rPr>
      </w:pPr>
    </w:p>
    <w:p w14:paraId="242F1274" w14:textId="588D0E16" w:rsidR="0047783A" w:rsidRPr="00C348C0" w:rsidRDefault="0047783A" w:rsidP="00A4424B">
      <w:pPr>
        <w:pStyle w:val="Heading1"/>
        <w:rPr>
          <w:lang w:val="en-GB"/>
        </w:rPr>
      </w:pPr>
      <w:bookmarkStart w:id="22" w:name="_Toc42488082"/>
      <w:r w:rsidRPr="00C348C0">
        <w:rPr>
          <w:lang w:val="en-GB"/>
        </w:rPr>
        <w:t>Additional information before the deadline for submission of tenders</w:t>
      </w:r>
      <w:bookmarkEnd w:id="22"/>
    </w:p>
    <w:p w14:paraId="69ED0D47" w14:textId="77777777" w:rsidR="00016444" w:rsidRPr="00016444" w:rsidRDefault="00016444" w:rsidP="00016444">
      <w:pPr>
        <w:spacing w:before="0" w:afterLines="60" w:after="144"/>
        <w:ind w:left="567"/>
        <w:jc w:val="both"/>
        <w:rPr>
          <w:rFonts w:ascii="Times New Roman" w:hAnsi="Times New Roman"/>
          <w:sz w:val="22"/>
        </w:rPr>
      </w:pPr>
      <w:r w:rsidRPr="00016444">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14:paraId="46234192" w14:textId="14E743BE" w:rsidR="00016444" w:rsidRPr="00016444" w:rsidRDefault="00016444" w:rsidP="00016444">
      <w:pPr>
        <w:spacing w:before="0" w:afterLines="60" w:after="144"/>
        <w:ind w:left="567"/>
        <w:jc w:val="both"/>
        <w:rPr>
          <w:rFonts w:ascii="Times New Roman" w:hAnsi="Times New Roman"/>
          <w:sz w:val="22"/>
        </w:rPr>
      </w:pPr>
      <w:r w:rsidRPr="00016444">
        <w:rPr>
          <w:rFonts w:ascii="Times New Roman" w:hAnsi="Times New Roman"/>
          <w:sz w:val="22"/>
        </w:rPr>
        <w:t xml:space="preserve">Tenderers may submit questions in writing to the following address up to </w:t>
      </w:r>
      <w:r w:rsidR="005028D2">
        <w:rPr>
          <w:rFonts w:ascii="Times New Roman" w:hAnsi="Times New Roman"/>
          <w:sz w:val="22"/>
        </w:rPr>
        <w:t xml:space="preserve">10 </w:t>
      </w:r>
      <w:r w:rsidRPr="00016444">
        <w:rPr>
          <w:rFonts w:ascii="Times New Roman" w:hAnsi="Times New Roman"/>
          <w:sz w:val="22"/>
        </w:rPr>
        <w:t>days before the deadline for submission of tenders, specifying the publication reference and the contract title:</w:t>
      </w:r>
    </w:p>
    <w:p w14:paraId="519763A4" w14:textId="0755624B" w:rsidR="00016444" w:rsidRPr="00016444" w:rsidRDefault="00016444" w:rsidP="00016444">
      <w:pPr>
        <w:spacing w:before="0" w:afterLines="60" w:after="144"/>
        <w:ind w:left="567"/>
        <w:jc w:val="both"/>
        <w:rPr>
          <w:rFonts w:ascii="Times New Roman" w:hAnsi="Times New Roman"/>
          <w:sz w:val="22"/>
        </w:rPr>
      </w:pPr>
      <w:r w:rsidRPr="00016444">
        <w:rPr>
          <w:rFonts w:ascii="Times New Roman" w:hAnsi="Times New Roman"/>
          <w:sz w:val="22"/>
        </w:rPr>
        <w:t xml:space="preserve">Contact name: </w:t>
      </w:r>
      <w:proofErr w:type="spellStart"/>
      <w:r w:rsidR="00D376E6" w:rsidRPr="00D376E6">
        <w:rPr>
          <w:color w:val="000000"/>
          <w:sz w:val="22"/>
          <w:szCs w:val="22"/>
        </w:rPr>
        <w:t>MSc.</w:t>
      </w:r>
      <w:r w:rsidR="00D036F1">
        <w:rPr>
          <w:rFonts w:ascii="Times New Roman" w:hAnsi="Times New Roman"/>
          <w:sz w:val="22"/>
        </w:rPr>
        <w:t>Ljupcho</w:t>
      </w:r>
      <w:proofErr w:type="spellEnd"/>
      <w:r w:rsidR="00D036F1">
        <w:rPr>
          <w:rFonts w:ascii="Times New Roman" w:hAnsi="Times New Roman"/>
          <w:sz w:val="22"/>
        </w:rPr>
        <w:t xml:space="preserve"> </w:t>
      </w:r>
      <w:proofErr w:type="spellStart"/>
      <w:r w:rsidR="00D036F1">
        <w:rPr>
          <w:rFonts w:ascii="Times New Roman" w:hAnsi="Times New Roman"/>
          <w:sz w:val="22"/>
        </w:rPr>
        <w:t>Shosholovski</w:t>
      </w:r>
      <w:proofErr w:type="spellEnd"/>
    </w:p>
    <w:p w14:paraId="30FF85F5" w14:textId="77777777" w:rsidR="00655565" w:rsidRPr="00655565" w:rsidRDefault="00016444" w:rsidP="0039791C">
      <w:pPr>
        <w:pStyle w:val="BodyText"/>
        <w:spacing w:before="240"/>
        <w:ind w:firstLine="567"/>
        <w:rPr>
          <w:rFonts w:ascii="Times New Roman" w:hAnsi="Times New Roman"/>
          <w:snapToGrid/>
          <w:color w:val="000000"/>
          <w:sz w:val="22"/>
          <w:szCs w:val="22"/>
          <w:lang w:eastAsia="en-GB"/>
        </w:rPr>
      </w:pPr>
      <w:r w:rsidRPr="00016444">
        <w:rPr>
          <w:rFonts w:ascii="Times New Roman" w:hAnsi="Times New Roman"/>
          <w:sz w:val="22"/>
        </w:rPr>
        <w:t xml:space="preserve">Address: </w:t>
      </w:r>
      <w:r w:rsidR="00655565" w:rsidRPr="00655565">
        <w:rPr>
          <w:rFonts w:ascii="Times New Roman" w:hAnsi="Times New Roman"/>
          <w:snapToGrid/>
          <w:color w:val="000000"/>
          <w:sz w:val="22"/>
          <w:szCs w:val="22"/>
          <w:lang w:eastAsia="en-GB"/>
        </w:rPr>
        <w:t xml:space="preserve">Military academy „General Mihailo </w:t>
      </w:r>
      <w:proofErr w:type="spellStart"/>
      <w:r w:rsidR="00655565" w:rsidRPr="00655565">
        <w:rPr>
          <w:rFonts w:ascii="Times New Roman" w:hAnsi="Times New Roman"/>
          <w:snapToGrid/>
          <w:color w:val="000000"/>
          <w:sz w:val="22"/>
          <w:szCs w:val="22"/>
          <w:lang w:eastAsia="en-GB"/>
        </w:rPr>
        <w:t>Apostolski</w:t>
      </w:r>
      <w:proofErr w:type="spellEnd"/>
      <w:r w:rsidR="00655565" w:rsidRPr="00655565">
        <w:rPr>
          <w:rFonts w:ascii="Times New Roman" w:hAnsi="Times New Roman"/>
          <w:snapToGrid/>
          <w:color w:val="000000"/>
          <w:sz w:val="22"/>
          <w:szCs w:val="22"/>
          <w:lang w:eastAsia="en-GB"/>
        </w:rPr>
        <w:t xml:space="preserve"> “– Skopje</w:t>
      </w:r>
    </w:p>
    <w:p w14:paraId="55C2E2D1" w14:textId="77777777" w:rsidR="00655565" w:rsidRPr="00655565" w:rsidRDefault="00655565" w:rsidP="00655565">
      <w:pPr>
        <w:spacing w:before="240" w:after="0"/>
        <w:ind w:left="720" w:firstLine="720"/>
        <w:rPr>
          <w:rFonts w:ascii="Times New Roman" w:hAnsi="Times New Roman"/>
          <w:snapToGrid/>
          <w:color w:val="000000"/>
          <w:sz w:val="22"/>
          <w:szCs w:val="22"/>
          <w:lang w:eastAsia="en-GB"/>
        </w:rPr>
      </w:pPr>
      <w:r w:rsidRPr="00655565">
        <w:rPr>
          <w:rFonts w:ascii="Times New Roman" w:hAnsi="Times New Roman"/>
          <w:snapToGrid/>
          <w:color w:val="000000"/>
          <w:sz w:val="22"/>
          <w:szCs w:val="22"/>
          <w:lang w:eastAsia="en-GB"/>
        </w:rPr>
        <w:lastRenderedPageBreak/>
        <w:t xml:space="preserve">Str. Vasko </w:t>
      </w:r>
      <w:proofErr w:type="spellStart"/>
      <w:r w:rsidRPr="00655565">
        <w:rPr>
          <w:rFonts w:ascii="Times New Roman" w:hAnsi="Times New Roman"/>
          <w:snapToGrid/>
          <w:color w:val="000000"/>
          <w:sz w:val="22"/>
          <w:szCs w:val="22"/>
          <w:lang w:eastAsia="en-GB"/>
        </w:rPr>
        <w:t>Karangeleski</w:t>
      </w:r>
      <w:proofErr w:type="spellEnd"/>
      <w:r w:rsidRPr="00655565">
        <w:rPr>
          <w:rFonts w:ascii="Times New Roman" w:hAnsi="Times New Roman"/>
          <w:snapToGrid/>
          <w:color w:val="000000"/>
          <w:sz w:val="22"/>
          <w:szCs w:val="22"/>
          <w:lang w:eastAsia="en-GB"/>
        </w:rPr>
        <w:t xml:space="preserve"> BB, 1000, Skopje</w:t>
      </w:r>
    </w:p>
    <w:p w14:paraId="37D6701B" w14:textId="30844B76" w:rsidR="00016444" w:rsidRPr="00016444" w:rsidRDefault="00016444" w:rsidP="00016444">
      <w:pPr>
        <w:spacing w:before="0" w:afterLines="60" w:after="144"/>
        <w:ind w:left="567"/>
        <w:jc w:val="both"/>
        <w:rPr>
          <w:rFonts w:ascii="Times New Roman" w:hAnsi="Times New Roman"/>
          <w:sz w:val="22"/>
        </w:rPr>
      </w:pPr>
    </w:p>
    <w:p w14:paraId="38979A5E" w14:textId="37EE203F" w:rsidR="00016444" w:rsidRDefault="00016444" w:rsidP="00016444">
      <w:pPr>
        <w:spacing w:before="0" w:afterLines="60" w:after="144"/>
        <w:ind w:left="567"/>
        <w:jc w:val="both"/>
        <w:rPr>
          <w:b/>
          <w:color w:val="000000"/>
          <w:sz w:val="22"/>
          <w:szCs w:val="22"/>
        </w:rPr>
      </w:pPr>
      <w:r w:rsidRPr="00016444">
        <w:rPr>
          <w:rFonts w:ascii="Times New Roman" w:hAnsi="Times New Roman"/>
          <w:sz w:val="22"/>
        </w:rPr>
        <w:t xml:space="preserve">E-mail: </w:t>
      </w:r>
      <w:hyperlink r:id="rId10" w:history="1">
        <w:r w:rsidR="00D036F1" w:rsidRPr="004B4792">
          <w:rPr>
            <w:rStyle w:val="Hyperlink"/>
            <w:b/>
            <w:sz w:val="22"/>
            <w:szCs w:val="22"/>
          </w:rPr>
          <w:t>ljupco.sosolovski@ugd.edu.mk</w:t>
        </w:r>
      </w:hyperlink>
    </w:p>
    <w:p w14:paraId="35D92707" w14:textId="6A425C0C" w:rsidR="0031457C" w:rsidRPr="0031457C" w:rsidRDefault="0031457C" w:rsidP="0031457C">
      <w:pPr>
        <w:spacing w:before="240" w:after="0"/>
        <w:ind w:firstLine="567"/>
        <w:rPr>
          <w:rFonts w:ascii="Times New Roman" w:hAnsi="Times New Roman"/>
          <w:snapToGrid/>
          <w:color w:val="000000"/>
          <w:sz w:val="22"/>
          <w:szCs w:val="22"/>
          <w:lang w:eastAsia="en-GB"/>
        </w:rPr>
      </w:pPr>
      <w:r w:rsidRPr="0031457C">
        <w:rPr>
          <w:rFonts w:ascii="Times New Roman" w:hAnsi="Times New Roman"/>
          <w:snapToGrid/>
          <w:color w:val="000000"/>
          <w:sz w:val="22"/>
          <w:szCs w:val="22"/>
          <w:lang w:eastAsia="en-GB"/>
        </w:rPr>
        <w:t xml:space="preserve">Phone: </w:t>
      </w:r>
      <w:r w:rsidRPr="0031457C">
        <w:rPr>
          <w:rFonts w:ascii="Times New Roman" w:hAnsi="Times New Roman"/>
          <w:snapToGrid/>
          <w:color w:val="000000"/>
          <w:sz w:val="22"/>
          <w:szCs w:val="22"/>
          <w:lang w:eastAsia="en-GB"/>
        </w:rPr>
        <w:tab/>
      </w:r>
      <w:r w:rsidRPr="0031457C">
        <w:rPr>
          <w:rFonts w:ascii="Times New Roman" w:hAnsi="Times New Roman"/>
          <w:snapToGrid/>
          <w:color w:val="000000"/>
          <w:sz w:val="22"/>
          <w:szCs w:val="22"/>
          <w:lang w:eastAsia="en-GB"/>
        </w:rPr>
        <w:tab/>
        <w:t xml:space="preserve">+389 </w:t>
      </w:r>
      <w:r w:rsidR="00D036F1">
        <w:rPr>
          <w:rFonts w:ascii="Times New Roman" w:hAnsi="Times New Roman"/>
          <w:snapToGrid/>
          <w:color w:val="000000"/>
          <w:sz w:val="22"/>
          <w:szCs w:val="22"/>
          <w:lang w:eastAsia="en-GB"/>
        </w:rPr>
        <w:t>415 995</w:t>
      </w:r>
    </w:p>
    <w:p w14:paraId="2B09EAD5" w14:textId="5A8AAB50" w:rsidR="00016444" w:rsidRPr="00DE5C6D" w:rsidRDefault="0031457C" w:rsidP="00DE5C6D">
      <w:pPr>
        <w:ind w:firstLine="567"/>
        <w:jc w:val="both"/>
        <w:rPr>
          <w:rFonts w:ascii="Times New Roman" w:hAnsi="Times New Roman"/>
          <w:snapToGrid/>
          <w:sz w:val="22"/>
          <w:szCs w:val="22"/>
          <w:lang w:eastAsia="en-GB"/>
        </w:rPr>
      </w:pPr>
      <w:r w:rsidRPr="0031457C">
        <w:rPr>
          <w:rFonts w:ascii="Times New Roman" w:hAnsi="Times New Roman"/>
          <w:snapToGrid/>
          <w:sz w:val="22"/>
          <w:szCs w:val="22"/>
          <w:lang w:eastAsia="en-GB"/>
        </w:rPr>
        <w:t>The contracting authority has no obligation to provide clarification after this date.</w:t>
      </w:r>
    </w:p>
    <w:p w14:paraId="3682A953" w14:textId="77777777" w:rsidR="00016444" w:rsidRPr="00016444" w:rsidRDefault="00016444" w:rsidP="00016444">
      <w:pPr>
        <w:spacing w:before="0" w:afterLines="60" w:after="144"/>
        <w:ind w:left="567"/>
        <w:jc w:val="both"/>
        <w:rPr>
          <w:rFonts w:ascii="Times New Roman" w:hAnsi="Times New Roman"/>
          <w:sz w:val="22"/>
        </w:rPr>
      </w:pPr>
      <w:r w:rsidRPr="00016444">
        <w:rPr>
          <w:rFonts w:ascii="Times New Roman" w:hAnsi="Times New Roman"/>
          <w:sz w:val="22"/>
        </w:rPr>
        <w:t xml:space="preserve">Any clarification of the tender dossier will be published on the Contracting Authority website at http://www.feit.ukim.edu.mk/fakultet/stopanstvo/oghlasi-i-javni-povitsi </w:t>
      </w:r>
      <w:proofErr w:type="spellStart"/>
      <w:r w:rsidRPr="00016444">
        <w:rPr>
          <w:rFonts w:ascii="Times New Roman" w:hAnsi="Times New Roman"/>
          <w:sz w:val="22"/>
        </w:rPr>
        <w:t>at</w:t>
      </w:r>
      <w:proofErr w:type="spellEnd"/>
      <w:r w:rsidRPr="00016444">
        <w:rPr>
          <w:rFonts w:ascii="Times New Roman" w:hAnsi="Times New Roman"/>
          <w:sz w:val="22"/>
        </w:rPr>
        <w:t xml:space="preserve"> the latest 3 days before the deadline for submission of tenders.</w:t>
      </w:r>
    </w:p>
    <w:p w14:paraId="5C4EEC03" w14:textId="77777777" w:rsidR="00BE5AFA" w:rsidRDefault="00016444" w:rsidP="00016444">
      <w:pPr>
        <w:spacing w:before="0" w:afterLines="60" w:after="144"/>
        <w:ind w:left="567"/>
        <w:jc w:val="both"/>
        <w:rPr>
          <w:rFonts w:ascii="Times New Roman" w:hAnsi="Times New Roman"/>
          <w:sz w:val="22"/>
        </w:rPr>
      </w:pPr>
      <w:r w:rsidRPr="00016444">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14:paraId="19F7F060" w14:textId="77777777" w:rsidR="0047783A" w:rsidRPr="00E82463" w:rsidRDefault="0047783A" w:rsidP="00A4424B">
      <w:pPr>
        <w:pStyle w:val="Heading1"/>
      </w:pPr>
      <w:bookmarkStart w:id="23" w:name="_Toc42488083"/>
      <w:r w:rsidRPr="00E82463">
        <w:t xml:space="preserve">Clarification </w:t>
      </w:r>
      <w:proofErr w:type="gramStart"/>
      <w:r w:rsidRPr="00E82463">
        <w:t>meeting</w:t>
      </w:r>
      <w:proofErr w:type="gramEnd"/>
      <w:r w:rsidRPr="00E82463">
        <w:t xml:space="preserve"> / site </w:t>
      </w:r>
      <w:proofErr w:type="spellStart"/>
      <w:r w:rsidRPr="00E82463">
        <w:t>visit</w:t>
      </w:r>
      <w:bookmarkEnd w:id="23"/>
      <w:proofErr w:type="spellEnd"/>
    </w:p>
    <w:p w14:paraId="3F2D0130" w14:textId="39E44902" w:rsidR="0047783A" w:rsidRPr="0053749D" w:rsidRDefault="0047783A" w:rsidP="003E5D4D">
      <w:pPr>
        <w:pStyle w:val="BodyText"/>
        <w:ind w:left="567" w:hanging="567"/>
        <w:rPr>
          <w:rFonts w:ascii="Times New Roman" w:hAnsi="Times New Roman"/>
          <w:sz w:val="22"/>
          <w:szCs w:val="22"/>
        </w:rPr>
      </w:pPr>
      <w:r w:rsidRPr="0053749D">
        <w:rPr>
          <w:rFonts w:ascii="Times New Roman" w:hAnsi="Times New Roman"/>
          <w:sz w:val="22"/>
          <w:szCs w:val="22"/>
        </w:rPr>
        <w:t>14.1</w:t>
      </w:r>
      <w:r w:rsidRPr="0053749D">
        <w:rPr>
          <w:rFonts w:ascii="Times New Roman" w:hAnsi="Times New Roman"/>
          <w:sz w:val="22"/>
          <w:szCs w:val="22"/>
        </w:rPr>
        <w:tab/>
        <w:t xml:space="preserve">No clarification meeting / site visit planned. Visits by individual prospective tenderers during the tender period cannot be organised. </w:t>
      </w:r>
    </w:p>
    <w:p w14:paraId="3C937384" w14:textId="77777777" w:rsidR="0047783A" w:rsidRPr="00E82463" w:rsidRDefault="0047783A" w:rsidP="00A4424B">
      <w:pPr>
        <w:pStyle w:val="Heading1"/>
      </w:pPr>
      <w:bookmarkStart w:id="24" w:name="_Toc42488084"/>
      <w:r w:rsidRPr="00E82463">
        <w:t xml:space="preserve">Alteration or </w:t>
      </w:r>
      <w:proofErr w:type="spellStart"/>
      <w:r w:rsidRPr="00E82463">
        <w:t>withdrawal</w:t>
      </w:r>
      <w:proofErr w:type="spellEnd"/>
      <w:r w:rsidRPr="00E82463">
        <w:t xml:space="preserve"> of tenders</w:t>
      </w:r>
      <w:bookmarkEnd w:id="24"/>
    </w:p>
    <w:p w14:paraId="7FC36A10" w14:textId="77777777"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06C8E339"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14:paraId="63C1BB7A"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1A4212E3" w14:textId="77777777" w:rsidR="0047783A" w:rsidRPr="00E82463" w:rsidRDefault="0047783A" w:rsidP="00A4424B">
      <w:pPr>
        <w:pStyle w:val="Heading1"/>
      </w:pPr>
      <w:bookmarkStart w:id="25" w:name="_Toc42488085"/>
      <w:proofErr w:type="spellStart"/>
      <w:r w:rsidRPr="00E82463">
        <w:t>Costs</w:t>
      </w:r>
      <w:proofErr w:type="spellEnd"/>
      <w:r w:rsidRPr="00E82463">
        <w:t xml:space="preserve"> of </w:t>
      </w:r>
      <w:proofErr w:type="spellStart"/>
      <w:r w:rsidRPr="00E82463">
        <w:t>preparing</w:t>
      </w:r>
      <w:proofErr w:type="spellEnd"/>
      <w:r w:rsidRPr="00E82463">
        <w:t xml:space="preserve"> tenders</w:t>
      </w:r>
      <w:bookmarkEnd w:id="25"/>
    </w:p>
    <w:p w14:paraId="73DB4097" w14:textId="77777777"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3D49CE8D" w14:textId="77777777" w:rsidR="0047783A" w:rsidRPr="00E82463" w:rsidRDefault="0047783A" w:rsidP="00A4424B">
      <w:pPr>
        <w:pStyle w:val="Heading1"/>
      </w:pPr>
      <w:bookmarkStart w:id="26" w:name="_Toc42488086"/>
      <w:proofErr w:type="spellStart"/>
      <w:r w:rsidRPr="00E82463">
        <w:t>Ownership</w:t>
      </w:r>
      <w:proofErr w:type="spellEnd"/>
      <w:r w:rsidRPr="00E82463">
        <w:t xml:space="preserve"> of tenders</w:t>
      </w:r>
      <w:bookmarkEnd w:id="26"/>
    </w:p>
    <w:p w14:paraId="5385CE10"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4F3F29A8" w14:textId="77777777" w:rsidR="0047783A" w:rsidRPr="00E82463" w:rsidRDefault="0047783A" w:rsidP="00A4424B">
      <w:pPr>
        <w:pStyle w:val="Heading1"/>
      </w:pPr>
      <w:bookmarkStart w:id="27" w:name="_Toc42488087"/>
      <w:proofErr w:type="spellStart"/>
      <w:r w:rsidRPr="00E82463">
        <w:lastRenderedPageBreak/>
        <w:t>Joint venture</w:t>
      </w:r>
      <w:proofErr w:type="spellEnd"/>
      <w:r w:rsidRPr="00E82463">
        <w:t xml:space="preserve"> or consortium</w:t>
      </w:r>
      <w:bookmarkEnd w:id="27"/>
    </w:p>
    <w:p w14:paraId="452DF6CF"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proofErr w:type="gramStart"/>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one</w:t>
      </w:r>
      <w:proofErr w:type="gramEnd"/>
      <w:r w:rsidR="00C778A1" w:rsidRPr="00E82463">
        <w:rPr>
          <w:rFonts w:ascii="Times New Roman" w:hAnsi="Times New Roman"/>
          <w:sz w:val="22"/>
          <w:lang w:val="en-GB"/>
        </w:rPr>
        <w:t xml:space="preserv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0F6248CE"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 xml:space="preserve">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w:t>
      </w:r>
      <w:proofErr w:type="gramStart"/>
      <w:r w:rsidRPr="00E82463">
        <w:rPr>
          <w:rFonts w:ascii="Times New Roman" w:hAnsi="Times New Roman"/>
          <w:sz w:val="22"/>
          <w:lang w:val="en-GB"/>
        </w:rPr>
        <w:t>enter into</w:t>
      </w:r>
      <w:proofErr w:type="gramEnd"/>
      <w:r w:rsidRPr="00E82463">
        <w:rPr>
          <w:rFonts w:ascii="Times New Roman" w:hAnsi="Times New Roman"/>
          <w:sz w:val="22"/>
          <w:lang w:val="en-GB"/>
        </w:rPr>
        <w:t xml:space="preserve"> commitments on behalf of the members of the joint venture or consortium. Each member of such joint venture or consortium must provide the proof required under Article 3.5 as if it, itself, were the tenderer.</w:t>
      </w:r>
    </w:p>
    <w:p w14:paraId="488FC600" w14:textId="77777777" w:rsidR="0047783A" w:rsidRPr="00E82463" w:rsidRDefault="0047783A" w:rsidP="00A4424B">
      <w:pPr>
        <w:pStyle w:val="Heading1"/>
      </w:pPr>
      <w:bookmarkStart w:id="28" w:name="_Toc42488088"/>
      <w:proofErr w:type="spellStart"/>
      <w:r w:rsidRPr="00E82463">
        <w:t>Opening</w:t>
      </w:r>
      <w:proofErr w:type="spellEnd"/>
      <w:r w:rsidRPr="00E82463">
        <w:t xml:space="preserve"> of tenders</w:t>
      </w:r>
      <w:bookmarkEnd w:id="28"/>
    </w:p>
    <w:p w14:paraId="4EABCC8F"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14:paraId="2FD36CA2" w14:textId="16BAB908"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1229AA">
        <w:rPr>
          <w:rFonts w:ascii="Times New Roman" w:hAnsi="Times New Roman"/>
          <w:sz w:val="22"/>
          <w:lang w:val="mk-MK"/>
        </w:rPr>
        <w:t>20</w:t>
      </w:r>
      <w:r w:rsidR="0053749D">
        <w:rPr>
          <w:rFonts w:ascii="Times New Roman" w:hAnsi="Times New Roman"/>
          <w:sz w:val="22"/>
          <w:lang w:val="en-GB"/>
        </w:rPr>
        <w:t>.0</w:t>
      </w:r>
      <w:r w:rsidR="001229AA">
        <w:rPr>
          <w:rFonts w:ascii="Times New Roman" w:hAnsi="Times New Roman"/>
          <w:sz w:val="22"/>
          <w:lang w:val="mk-MK"/>
        </w:rPr>
        <w:t>5</w:t>
      </w:r>
      <w:r w:rsidR="0053749D">
        <w:rPr>
          <w:rFonts w:ascii="Times New Roman" w:hAnsi="Times New Roman"/>
          <w:sz w:val="22"/>
          <w:lang w:val="en-GB"/>
        </w:rPr>
        <w:t>.2022</w:t>
      </w:r>
      <w:r w:rsidRPr="00E82463">
        <w:rPr>
          <w:rFonts w:ascii="Times New Roman" w:hAnsi="Times New Roman"/>
          <w:sz w:val="22"/>
          <w:lang w:val="en-GB"/>
        </w:rPr>
        <w:t xml:space="preserve"> at </w:t>
      </w:r>
      <w:r w:rsidR="0072253D">
        <w:rPr>
          <w:rFonts w:ascii="Times New Roman" w:hAnsi="Times New Roman"/>
          <w:sz w:val="22"/>
          <w:lang w:val="en-GB"/>
        </w:rPr>
        <w:t>1</w:t>
      </w:r>
      <w:r w:rsidR="00BC230A">
        <w:rPr>
          <w:rFonts w:ascii="Times New Roman" w:hAnsi="Times New Roman"/>
          <w:sz w:val="22"/>
          <w:lang w:val="en-GB"/>
        </w:rPr>
        <w:t>0</w:t>
      </w:r>
      <w:r w:rsidR="0072253D">
        <w:rPr>
          <w:rFonts w:ascii="Times New Roman" w:hAnsi="Times New Roman"/>
          <w:sz w:val="22"/>
          <w:lang w:val="en-GB"/>
        </w:rPr>
        <w:t>:00</w:t>
      </w:r>
      <w:r w:rsidRPr="00E82463">
        <w:rPr>
          <w:rFonts w:ascii="Times New Roman" w:hAnsi="Times New Roman"/>
          <w:sz w:val="22"/>
          <w:lang w:val="en-GB"/>
        </w:rPr>
        <w:t xml:space="preserve"> </w:t>
      </w:r>
      <w:r w:rsidR="0072253D">
        <w:rPr>
          <w:rFonts w:ascii="Times New Roman" w:hAnsi="Times New Roman"/>
          <w:sz w:val="22"/>
          <w:lang w:val="en-GB"/>
        </w:rPr>
        <w:t xml:space="preserve">Local time </w:t>
      </w:r>
      <w:r w:rsidR="00260B72">
        <w:rPr>
          <w:rFonts w:ascii="Times New Roman" w:hAnsi="Times New Roman"/>
          <w:sz w:val="22"/>
          <w:lang w:val="en-GB"/>
        </w:rPr>
        <w:t>at Military academy</w:t>
      </w:r>
      <w:r w:rsidR="00AB4AF4">
        <w:rPr>
          <w:rFonts w:ascii="Times New Roman" w:hAnsi="Times New Roman"/>
          <w:sz w:val="22"/>
          <w:lang w:val="en-GB"/>
        </w:rPr>
        <w:t xml:space="preserve"> General Mihailo </w:t>
      </w:r>
      <w:proofErr w:type="spellStart"/>
      <w:r w:rsidR="00AB4AF4">
        <w:rPr>
          <w:rFonts w:ascii="Times New Roman" w:hAnsi="Times New Roman"/>
          <w:sz w:val="22"/>
          <w:lang w:val="en-GB"/>
        </w:rPr>
        <w:t>Apostolski</w:t>
      </w:r>
      <w:proofErr w:type="spellEnd"/>
      <w:r w:rsidR="00AB4AF4">
        <w:rPr>
          <w:rFonts w:ascii="Times New Roman" w:hAnsi="Times New Roman"/>
          <w:sz w:val="22"/>
          <w:lang w:val="en-GB"/>
        </w:rPr>
        <w:t xml:space="preserve"> Skopje by the committee appointed for the purpose</w:t>
      </w:r>
      <w:r w:rsidR="00DB07E6">
        <w:rPr>
          <w:rFonts w:ascii="Times New Roman" w:hAnsi="Times New Roman"/>
          <w:sz w:val="22"/>
          <w:lang w:val="en-GB"/>
        </w:rPr>
        <w:t>. The committee will draw up minutes of the meeting</w:t>
      </w:r>
      <w:r w:rsidR="005F626C">
        <w:rPr>
          <w:rFonts w:ascii="Times New Roman" w:hAnsi="Times New Roman"/>
          <w:sz w:val="22"/>
          <w:lang w:val="en-GB"/>
        </w:rPr>
        <w:t>, which will be available on request.</w:t>
      </w:r>
    </w:p>
    <w:p w14:paraId="5CFB3ECB" w14:textId="77777777"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w:t>
      </w:r>
      <w:proofErr w:type="gramStart"/>
      <w:r>
        <w:rPr>
          <w:rFonts w:ascii="Times New Roman" w:hAnsi="Times New Roman"/>
          <w:sz w:val="22"/>
        </w:rPr>
        <w:t>authority</w:t>
      </w:r>
      <w:proofErr w:type="gramEnd"/>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2DA4D793"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14:paraId="27EEF679"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15725228"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w:t>
      </w:r>
      <w:proofErr w:type="gramStart"/>
      <w:r w:rsidRPr="00E82463">
        <w:rPr>
          <w:rFonts w:ascii="Times New Roman" w:hAnsi="Times New Roman"/>
          <w:sz w:val="22"/>
          <w:lang w:val="en-GB"/>
        </w:rPr>
        <w:t>evaluation</w:t>
      </w:r>
      <w:proofErr w:type="gramEnd"/>
      <w:r w:rsidRPr="00E82463">
        <w:rPr>
          <w:rFonts w:ascii="Times New Roman" w:hAnsi="Times New Roman"/>
          <w:sz w:val="22"/>
          <w:lang w:val="en-GB"/>
        </w:rPr>
        <w:t xml:space="preserve">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5DC685F9"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The associated guarantees will be </w:t>
      </w:r>
      <w:r w:rsidRPr="00E82463">
        <w:rPr>
          <w:rFonts w:ascii="Times New Roman" w:hAnsi="Times New Roman"/>
          <w:sz w:val="22"/>
          <w:lang w:val="en-GB"/>
        </w:rPr>
        <w:lastRenderedPageBreak/>
        <w:t>returned to the tenderers. No liability can be accepted for late delivery of tenders. Late tenders will be rejected and will not be evaluated.</w:t>
      </w:r>
    </w:p>
    <w:p w14:paraId="240E7933" w14:textId="77777777" w:rsidR="0047783A" w:rsidRPr="00E82463" w:rsidRDefault="0047783A" w:rsidP="00A4424B">
      <w:pPr>
        <w:pStyle w:val="Heading1"/>
      </w:pPr>
      <w:bookmarkStart w:id="29" w:name="_Toc42488089"/>
      <w:r w:rsidRPr="00E82463">
        <w:t>Evaluation of tenders</w:t>
      </w:r>
      <w:bookmarkEnd w:id="29"/>
    </w:p>
    <w:p w14:paraId="5A4C67E7"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403AE29C"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The aim at this stage is to check that tenders comply with the essential requirements of the tender dossier. A tender is deemed to comply if it satisfies all the conditions, </w:t>
      </w:r>
      <w:proofErr w:type="gramStart"/>
      <w:r w:rsidRPr="00E82463">
        <w:rPr>
          <w:rFonts w:ascii="Times New Roman" w:hAnsi="Times New Roman"/>
          <w:sz w:val="22"/>
        </w:rPr>
        <w:t>procedures</w:t>
      </w:r>
      <w:proofErr w:type="gramEnd"/>
      <w:r w:rsidRPr="00E82463">
        <w:rPr>
          <w:rFonts w:ascii="Times New Roman" w:hAnsi="Times New Roman"/>
          <w:sz w:val="22"/>
        </w:rPr>
        <w:t xml:space="preserve"> and specifications in the tender dossier without substantially departing from or attaching restrictions to them.</w:t>
      </w:r>
    </w:p>
    <w:p w14:paraId="2E143E69"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w:t>
      </w:r>
      <w:proofErr w:type="gramStart"/>
      <w:r w:rsidRPr="00E82463">
        <w:rPr>
          <w:rFonts w:ascii="Times New Roman" w:hAnsi="Times New Roman"/>
          <w:sz w:val="22"/>
        </w:rPr>
        <w:t>quality</w:t>
      </w:r>
      <w:proofErr w:type="gramEnd"/>
      <w:r w:rsidRPr="00E82463">
        <w:rPr>
          <w:rFonts w:ascii="Times New Roman" w:hAnsi="Times New Roman"/>
          <w:sz w:val="22"/>
        </w:rPr>
        <w:t xml:space="preserve">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59AAFD69" w14:textId="77777777"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0FC898FD"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1DA1CE58" w14:textId="77777777" w:rsidR="0047783A" w:rsidRPr="00E82463" w:rsidRDefault="0047783A" w:rsidP="00E82463">
      <w:pPr>
        <w:spacing w:before="0"/>
        <w:ind w:left="567"/>
        <w:jc w:val="both"/>
        <w:outlineLvl w:val="0"/>
        <w:rPr>
          <w:rFonts w:ascii="Times New Roman" w:hAnsi="Times New Roman"/>
          <w:sz w:val="22"/>
        </w:rPr>
      </w:pPr>
      <w:bookmarkStart w:id="30"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6375D4CB"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30"/>
    <w:p w14:paraId="3A714CE2"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279F4B7A"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w:t>
      </w:r>
      <w:proofErr w:type="gramStart"/>
      <w:r w:rsidRPr="00E82463">
        <w:rPr>
          <w:rFonts w:ascii="Times New Roman" w:hAnsi="Times New Roman"/>
          <w:sz w:val="22"/>
          <w:lang w:val="en-GB"/>
        </w:rPr>
        <w:t>offered</w:t>
      </w:r>
      <w:proofErr w:type="gramEnd"/>
      <w:r w:rsidRPr="00E82463">
        <w:rPr>
          <w:rFonts w:ascii="Times New Roman" w:hAnsi="Times New Roman"/>
          <w:sz w:val="22"/>
          <w:lang w:val="en-GB"/>
        </w:rPr>
        <w:t xml:space="preserve">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251F44D7"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3BA0A474"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1CD1C066"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 xml:space="preserve">where there is a discrepancy between amounts in figures and in words, the amount in words will be the amount taken into </w:t>
      </w:r>
      <w:proofErr w:type="gramStart"/>
      <w:r w:rsidRPr="00E82463">
        <w:rPr>
          <w:rFonts w:ascii="Times New Roman" w:hAnsi="Times New Roman"/>
          <w:sz w:val="22"/>
        </w:rPr>
        <w:t>account;</w:t>
      </w:r>
      <w:proofErr w:type="gramEnd"/>
    </w:p>
    <w:p w14:paraId="35CEBCC2"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lastRenderedPageBreak/>
        <w:t>-</w:t>
      </w:r>
      <w:r w:rsidRPr="00E82463">
        <w:rPr>
          <w:rFonts w:ascii="Times New Roman" w:hAnsi="Times New Roman"/>
          <w:sz w:val="22"/>
        </w:rPr>
        <w:tab/>
        <w:t xml:space="preserve">except for lump-sum contracts, where there is a discrepancy between a unit price and the total amount derived from the multiplication of the unit price and the quantity, the unit price as quoted will be the price </w:t>
      </w:r>
      <w:proofErr w:type="gramStart"/>
      <w:r w:rsidRPr="00E82463">
        <w:rPr>
          <w:rFonts w:ascii="Times New Roman" w:hAnsi="Times New Roman"/>
          <w:sz w:val="22"/>
        </w:rPr>
        <w:t>taken into account</w:t>
      </w:r>
      <w:proofErr w:type="gramEnd"/>
      <w:r w:rsidRPr="00E82463">
        <w:rPr>
          <w:rFonts w:ascii="Times New Roman" w:hAnsi="Times New Roman"/>
          <w:sz w:val="22"/>
        </w:rPr>
        <w:t>.</w:t>
      </w:r>
    </w:p>
    <w:p w14:paraId="572C1EB0"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52A23954" w14:textId="77777777"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w:t>
      </w:r>
      <w:proofErr w:type="gramStart"/>
      <w:r w:rsidRPr="004002E5">
        <w:rPr>
          <w:rFonts w:ascii="Times New Roman" w:hAnsi="Times New Roman"/>
          <w:sz w:val="22"/>
        </w:rPr>
        <w:t>take into account</w:t>
      </w:r>
      <w:proofErr w:type="gramEnd"/>
      <w:r w:rsidRPr="004002E5">
        <w:rPr>
          <w:rFonts w:ascii="Times New Roman" w:hAnsi="Times New Roman"/>
          <w:sz w:val="22"/>
        </w:rPr>
        <w:t xml:space="preserve">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 xml:space="preserve">uthority will examine in detail all the information supplied by the tenderers and will formulate its judgment </w:t>
      </w:r>
      <w:proofErr w:type="gramStart"/>
      <w:r w:rsidRPr="004002E5">
        <w:rPr>
          <w:rFonts w:ascii="Times New Roman" w:hAnsi="Times New Roman"/>
          <w:sz w:val="22"/>
        </w:rPr>
        <w:t>on the basis of</w:t>
      </w:r>
      <w:proofErr w:type="gramEnd"/>
      <w:r w:rsidRPr="004002E5">
        <w:rPr>
          <w:rFonts w:ascii="Times New Roman" w:hAnsi="Times New Roman"/>
          <w:sz w:val="22"/>
        </w:rPr>
        <w:t xml:space="preserve"> the lowest total cost, including additional costs</w:t>
      </w:r>
      <w:r w:rsidRPr="009C1AB9">
        <w:rPr>
          <w:rFonts w:ascii="Times New Roman" w:hAnsi="Times New Roman"/>
          <w:sz w:val="22"/>
        </w:rPr>
        <w:t>.</w:t>
      </w:r>
    </w:p>
    <w:p w14:paraId="347E1ADE"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64D977D6"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05D727A2"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7E48AD80" w14:textId="05D1A666" w:rsidR="00B30FBD" w:rsidRDefault="00B30FBD" w:rsidP="00B30FBD">
      <w:pPr>
        <w:jc w:val="both"/>
        <w:rPr>
          <w:rFonts w:ascii="Times New Roman" w:hAnsi="Times New Roman"/>
          <w:snapToGrid/>
          <w:sz w:val="22"/>
          <w:szCs w:val="22"/>
          <w:lang w:eastAsia="en-GB"/>
        </w:rPr>
      </w:pPr>
      <w:r w:rsidRPr="00B30FBD">
        <w:rPr>
          <w:rFonts w:ascii="Times New Roman" w:hAnsi="Times New Roman"/>
          <w:snapToGrid/>
          <w:sz w:val="22"/>
          <w:szCs w:val="22"/>
          <w:lang w:eastAsia="en-GB"/>
        </w:rPr>
        <w:t>The best price-quality ratio is established by weighing technical quality against the price on an 80/20 basis (price 80/quality 20).</w:t>
      </w:r>
    </w:p>
    <w:p w14:paraId="4C6B61BF" w14:textId="47FB29C3" w:rsidR="00EA5F1F" w:rsidRDefault="00EA5F1F" w:rsidP="00EA5F1F">
      <w:pPr>
        <w:numPr>
          <w:ilvl w:val="1"/>
          <w:numId w:val="31"/>
        </w:numPr>
        <w:jc w:val="both"/>
        <w:rPr>
          <w:rFonts w:ascii="Times New Roman" w:hAnsi="Times New Roman"/>
          <w:snapToGrid/>
          <w:sz w:val="22"/>
          <w:szCs w:val="22"/>
        </w:rPr>
      </w:pPr>
      <w:r>
        <w:rPr>
          <w:rFonts w:ascii="Times New Roman" w:hAnsi="Times New Roman"/>
          <w:sz w:val="22"/>
          <w:szCs w:val="22"/>
        </w:rPr>
        <w:t>Documentary evidence for exclusion and selection criteria</w:t>
      </w:r>
    </w:p>
    <w:p w14:paraId="4E91B999" w14:textId="77777777" w:rsidR="00EA5F1F" w:rsidRDefault="00EA5F1F" w:rsidP="00EA5F1F">
      <w:pPr>
        <w:ind w:left="567"/>
        <w:jc w:val="both"/>
        <w:rPr>
          <w:rFonts w:ascii="Times New Roman" w:hAnsi="Times New Roman"/>
          <w:sz w:val="22"/>
          <w:szCs w:val="22"/>
          <w:lang w:val="en-IE"/>
        </w:rPr>
      </w:pPr>
      <w:r>
        <w:rPr>
          <w:rFonts w:ascii="Times New Roman" w:hAnsi="Times New Roman"/>
          <w:color w:val="000000"/>
          <w:sz w:val="22"/>
          <w:szCs w:val="22"/>
        </w:rPr>
        <w:t>At any time during the procurement procedure and before the award of the contract, the contracting authority may request documentary evidence on compliance with the exclusion criteria set out in these instructions.</w:t>
      </w:r>
    </w:p>
    <w:p w14:paraId="4789FAEC" w14:textId="77777777" w:rsidR="00EA5F1F" w:rsidRDefault="00EA5F1F" w:rsidP="00EA5F1F">
      <w:pPr>
        <w:ind w:left="567"/>
        <w:jc w:val="both"/>
        <w:rPr>
          <w:rFonts w:ascii="Times New Roman" w:hAnsi="Times New Roman"/>
          <w:color w:val="000000"/>
          <w:sz w:val="22"/>
          <w:szCs w:val="22"/>
          <w:lang w:val="en-IE"/>
        </w:rPr>
      </w:pPr>
      <w:r>
        <w:rPr>
          <w:rFonts w:ascii="Times New Roman" w:hAnsi="Times New Roman"/>
          <w:sz w:val="22"/>
          <w:szCs w:val="22"/>
          <w:lang w:val="en-IE"/>
        </w:rPr>
        <w:t>At any time during the procurement procedure and before the award of the contract, the contracting authority may request documentary evidence on compliance with the exclusion criteria and selection criteria (</w:t>
      </w:r>
      <w:r>
        <w:rPr>
          <w:rFonts w:ascii="Times New Roman" w:hAnsi="Times New Roman"/>
          <w:sz w:val="22"/>
          <w:szCs w:val="22"/>
        </w:rPr>
        <w:t xml:space="preserve">financial, economic, </w:t>
      </w:r>
      <w:proofErr w:type="gramStart"/>
      <w:r>
        <w:rPr>
          <w:rFonts w:ascii="Times New Roman" w:hAnsi="Times New Roman"/>
          <w:sz w:val="22"/>
          <w:szCs w:val="22"/>
        </w:rPr>
        <w:t>technical</w:t>
      </w:r>
      <w:proofErr w:type="gramEnd"/>
      <w:r>
        <w:rPr>
          <w:rFonts w:ascii="Times New Roman" w:hAnsi="Times New Roman"/>
          <w:sz w:val="22"/>
          <w:szCs w:val="22"/>
        </w:rPr>
        <w:t xml:space="preserve"> and professional capacity)</w:t>
      </w:r>
      <w:r>
        <w:rPr>
          <w:rFonts w:ascii="Times New Roman" w:hAnsi="Times New Roman"/>
          <w:sz w:val="22"/>
          <w:szCs w:val="22"/>
          <w:lang w:val="en-IE"/>
        </w:rPr>
        <w:t xml:space="preserve"> set out in these instructions. Please note that a request for evidence in no way implies that the tenderer has been successful. </w:t>
      </w:r>
      <w:r>
        <w:rPr>
          <w:rFonts w:ascii="Times New Roman" w:hAnsi="Times New Roman"/>
          <w:b/>
          <w:sz w:val="22"/>
          <w:szCs w:val="22"/>
          <w:lang w:val="en-IE"/>
        </w:rPr>
        <w:t>All tenderers are invited to prepare in advance the documents related to the evidence, since they may be requested to provide such evidence within a short deadline</w:t>
      </w:r>
      <w:r>
        <w:rPr>
          <w:rFonts w:ascii="Times New Roman" w:hAnsi="Times New Roman"/>
          <w:sz w:val="22"/>
          <w:szCs w:val="22"/>
          <w:lang w:val="en-IE"/>
        </w:rPr>
        <w:t xml:space="preserve">. In any event, the tenderer proposed by the evaluation committee for the award of the contract, will be requested to provide such evidence at short notice. </w:t>
      </w:r>
    </w:p>
    <w:p w14:paraId="136C0F7F" w14:textId="77777777" w:rsidR="00EA5F1F" w:rsidRDefault="00EA5F1F" w:rsidP="00EA5F1F">
      <w:pPr>
        <w:ind w:left="567"/>
        <w:jc w:val="both"/>
        <w:rPr>
          <w:rFonts w:ascii="Times New Roman" w:hAnsi="Times New Roman"/>
          <w:sz w:val="22"/>
          <w:szCs w:val="22"/>
        </w:rPr>
      </w:pPr>
      <w:r>
        <w:rPr>
          <w:rFonts w:ascii="Times New Roman" w:hAnsi="Times New Roman"/>
          <w:sz w:val="22"/>
          <w:szCs w:val="22"/>
        </w:rPr>
        <w:t xml:space="preserve">When requested, regarding the exclusion criteria, the tenderers should be able to provide the documentary proof or statements required under the law of the country in which the company (or, for consortia, each of the companies) is established, to show that it does not fall into any of the exclusion situations listed in Section 2.6.10.1. of the practical guide. </w:t>
      </w:r>
    </w:p>
    <w:p w14:paraId="339B33DC" w14:textId="77777777" w:rsidR="00EA5F1F" w:rsidRDefault="00EA5F1F" w:rsidP="00EA5F1F">
      <w:pPr>
        <w:ind w:left="567"/>
        <w:jc w:val="both"/>
        <w:outlineLvl w:val="0"/>
        <w:rPr>
          <w:rFonts w:ascii="Times New Roman" w:hAnsi="Times New Roman"/>
          <w:sz w:val="22"/>
          <w:szCs w:val="22"/>
          <w:lang w:val="en-IE"/>
        </w:rPr>
      </w:pPr>
      <w:r>
        <w:rPr>
          <w:rFonts w:ascii="Times New Roman" w:hAnsi="Times New Roman"/>
          <w:sz w:val="22"/>
          <w:szCs w:val="22"/>
          <w:lang w:val="en-IE"/>
        </w:rPr>
        <w:t xml:space="preserve">This evidence, documents or statements must be dated, no more than one year before the date of submission of the tender. </w:t>
      </w:r>
    </w:p>
    <w:p w14:paraId="642145A7" w14:textId="77777777" w:rsidR="00EA5F1F" w:rsidRDefault="00EA5F1F" w:rsidP="00EA5F1F">
      <w:pPr>
        <w:ind w:left="567"/>
        <w:jc w:val="both"/>
        <w:rPr>
          <w:rFonts w:ascii="Times New Roman" w:hAnsi="Times New Roman"/>
          <w:sz w:val="22"/>
          <w:szCs w:val="22"/>
        </w:rPr>
      </w:pPr>
      <w:r>
        <w:rPr>
          <w:rFonts w:ascii="Times New Roman" w:hAnsi="Times New Roman"/>
          <w:sz w:val="22"/>
          <w:szCs w:val="22"/>
        </w:rPr>
        <w:t xml:space="preserve">The above-mentioned documents must be submitted for every member of a joint venture/consortium, all subcontractors and every capacity providing entity. </w:t>
      </w:r>
    </w:p>
    <w:p w14:paraId="6B7A037D" w14:textId="77777777" w:rsidR="00EA5F1F" w:rsidRDefault="00EA5F1F" w:rsidP="00EA5F1F">
      <w:pPr>
        <w:ind w:left="567"/>
        <w:jc w:val="both"/>
        <w:outlineLvl w:val="0"/>
        <w:rPr>
          <w:rFonts w:ascii="Times New Roman" w:hAnsi="Times New Roman"/>
          <w:sz w:val="22"/>
          <w:szCs w:val="22"/>
          <w:lang w:val="en-IE"/>
        </w:rPr>
      </w:pPr>
      <w:r>
        <w:rPr>
          <w:rFonts w:ascii="Times New Roman" w:hAnsi="Times New Roman"/>
          <w:sz w:val="22"/>
          <w:szCs w:val="22"/>
          <w:lang w:val="en-IE"/>
        </w:rPr>
        <w:t xml:space="preserve">The contracting authority may waive the obligation of any tenderer to submit the documentary evidence referred to above if such evidence has already been submitted for the </w:t>
      </w:r>
      <w:r>
        <w:rPr>
          <w:rFonts w:ascii="Times New Roman" w:hAnsi="Times New Roman"/>
          <w:sz w:val="22"/>
          <w:szCs w:val="22"/>
          <w:lang w:val="en-IE"/>
        </w:rPr>
        <w:lastRenderedPageBreak/>
        <w:t>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14:paraId="42E4BADC" w14:textId="77777777" w:rsidR="00EA5F1F" w:rsidRDefault="00EA5F1F" w:rsidP="00EA5F1F">
      <w:pPr>
        <w:ind w:left="567"/>
        <w:jc w:val="both"/>
        <w:outlineLvl w:val="0"/>
        <w:rPr>
          <w:rFonts w:ascii="Times New Roman" w:hAnsi="Times New Roman"/>
          <w:sz w:val="22"/>
          <w:szCs w:val="22"/>
          <w:lang w:val="en-IE"/>
        </w:rPr>
      </w:pPr>
      <w:r>
        <w:rPr>
          <w:rFonts w:ascii="Times New Roman" w:hAnsi="Times New Roman"/>
          <w:sz w:val="22"/>
          <w:szCs w:val="22"/>
          <w:lang w:val="en-IE"/>
        </w:rPr>
        <w:t xml:space="preserve">Where the documentary evidence submitted is in an official language of the European Union other than the one of the </w:t>
      </w:r>
      <w:proofErr w:type="gramStart"/>
      <w:r>
        <w:rPr>
          <w:rFonts w:ascii="Times New Roman" w:hAnsi="Times New Roman"/>
          <w:sz w:val="22"/>
          <w:szCs w:val="22"/>
          <w:lang w:val="en-IE"/>
        </w:rPr>
        <w:t>procedure</w:t>
      </w:r>
      <w:proofErr w:type="gramEnd"/>
      <w:r>
        <w:rPr>
          <w:rFonts w:ascii="Times New Roman" w:hAnsi="Times New Roman"/>
          <w:sz w:val="22"/>
          <w:szCs w:val="22"/>
          <w:lang w:val="en-IE"/>
        </w:rPr>
        <w:t xml:space="preserve">, it is strongly recommended to provide a translation into the language of the procedure, in order to facilitate the evaluation of the documents. </w:t>
      </w:r>
    </w:p>
    <w:p w14:paraId="5BE16BDA" w14:textId="77777777" w:rsidR="00EA5F1F" w:rsidRDefault="00EA5F1F" w:rsidP="00EA5F1F">
      <w:pPr>
        <w:ind w:left="567"/>
        <w:jc w:val="both"/>
        <w:outlineLvl w:val="0"/>
        <w:rPr>
          <w:rFonts w:ascii="Times New Roman" w:hAnsi="Times New Roman"/>
          <w:sz w:val="22"/>
          <w:szCs w:val="22"/>
          <w:lang w:val="en-IE"/>
        </w:rPr>
      </w:pPr>
      <w:r>
        <w:rPr>
          <w:rFonts w:ascii="Times New Roman" w:hAnsi="Times New Roman"/>
          <w:sz w:val="22"/>
          <w:szCs w:val="22"/>
          <w:lang w:val="en-IE"/>
        </w:rPr>
        <w:t xml:space="preserve"> Failure to provide valid documentary evidence at the request and within the deadline set by the Contracting Authority shall lead to the rejection of the tender for the award of the </w:t>
      </w:r>
      <w:proofErr w:type="gramStart"/>
      <w:r>
        <w:rPr>
          <w:rFonts w:ascii="Times New Roman" w:hAnsi="Times New Roman"/>
          <w:sz w:val="22"/>
          <w:szCs w:val="22"/>
          <w:lang w:val="en-IE"/>
        </w:rPr>
        <w:t>contract, unless</w:t>
      </w:r>
      <w:proofErr w:type="gramEnd"/>
      <w:r>
        <w:rPr>
          <w:rFonts w:ascii="Times New Roman" w:hAnsi="Times New Roman"/>
          <w:sz w:val="22"/>
          <w:szCs w:val="22"/>
          <w:lang w:val="en-IE"/>
        </w:rPr>
        <w:t xml:space="preserve"> the tenderer can justify the failure on the grounds of material impossibility.</w:t>
      </w:r>
    </w:p>
    <w:p w14:paraId="71F3738B" w14:textId="77777777" w:rsidR="00EA5F1F" w:rsidRDefault="00EA5F1F" w:rsidP="00EA5F1F">
      <w:pPr>
        <w:ind w:left="567"/>
        <w:jc w:val="both"/>
        <w:rPr>
          <w:rFonts w:ascii="Times New Roman" w:hAnsi="Times New Roman"/>
          <w:sz w:val="22"/>
          <w:szCs w:val="22"/>
        </w:rPr>
      </w:pPr>
      <w:r>
        <w:rPr>
          <w:rFonts w:ascii="Times New Roman" w:hAnsi="Times New Roman"/>
          <w:sz w:val="22"/>
          <w:szCs w:val="22"/>
        </w:rPr>
        <w:t>If the successful tenderer fails to provide this documentary proof or statement or if the successful tenderer is found to have provided false information, the award will be considered null and void. In this case, the contracting authority may award the tender to the next lowest tenderer or cancel the tender procedure.</w:t>
      </w:r>
    </w:p>
    <w:p w14:paraId="56E95445" w14:textId="23A4842C" w:rsidR="003E5D4D" w:rsidRPr="00B30FBD" w:rsidRDefault="003E5D4D" w:rsidP="00B30FBD">
      <w:pPr>
        <w:jc w:val="both"/>
        <w:rPr>
          <w:rFonts w:ascii="Times New Roman" w:hAnsi="Times New Roman"/>
          <w:snapToGrid/>
          <w:sz w:val="22"/>
          <w:szCs w:val="22"/>
          <w:lang w:eastAsia="en-GB"/>
        </w:rPr>
      </w:pPr>
    </w:p>
    <w:p w14:paraId="676C88A8" w14:textId="77777777"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5B2C147D" w14:textId="77777777" w:rsidR="00EA5F1F" w:rsidRDefault="00EA5F1F" w:rsidP="00EA5F1F">
      <w:pPr>
        <w:ind w:left="567"/>
        <w:jc w:val="both"/>
        <w:rPr>
          <w:rFonts w:ascii="Times New Roman" w:hAnsi="Times New Roman"/>
          <w:snapToGrid/>
          <w:sz w:val="22"/>
        </w:rPr>
      </w:pPr>
      <w:r>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49C38161" w14:textId="77777777"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6C473E34" w14:textId="77777777" w:rsidR="0047783A" w:rsidRPr="00C348C0" w:rsidRDefault="00EA1ADC" w:rsidP="00C348C0">
      <w:pPr>
        <w:pStyle w:val="Heading1"/>
        <w:numPr>
          <w:ilvl w:val="0"/>
          <w:numId w:val="0"/>
        </w:numPr>
        <w:rPr>
          <w:lang w:val="en-GB"/>
        </w:rPr>
      </w:pPr>
      <w:bookmarkStart w:id="31" w:name="_Toc41467298"/>
      <w:bookmarkStart w:id="32" w:name="_Toc42488090"/>
      <w:r>
        <w:rPr>
          <w:lang w:val="en-GB"/>
        </w:rPr>
        <w:t>22.</w:t>
      </w:r>
      <w:r>
        <w:rPr>
          <w:lang w:val="en-GB"/>
        </w:rPr>
        <w:tab/>
      </w:r>
      <w:r w:rsidR="0047783A" w:rsidRPr="00C348C0">
        <w:rPr>
          <w:lang w:val="en-GB"/>
        </w:rPr>
        <w:t>Signature of the contract and performance guarantee</w:t>
      </w:r>
      <w:bookmarkStart w:id="33" w:name="_Ref500418776"/>
      <w:bookmarkEnd w:id="31"/>
      <w:bookmarkEnd w:id="32"/>
    </w:p>
    <w:p w14:paraId="50726713" w14:textId="77777777" w:rsidR="004B5B35" w:rsidRDefault="0047783A" w:rsidP="004B5B35">
      <w:pPr>
        <w:ind w:left="567" w:hanging="567"/>
        <w:jc w:val="both"/>
        <w:outlineLvl w:val="0"/>
        <w:rPr>
          <w:rFonts w:ascii="Times New Roman" w:hAnsi="Times New Roman"/>
          <w:snapToGrid/>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r>
      <w:bookmarkEnd w:id="33"/>
      <w:r w:rsidR="004B5B35">
        <w:rPr>
          <w:rFonts w:ascii="Times New Roman" w:hAnsi="Times New Roman"/>
          <w:sz w:val="22"/>
          <w:szCs w:val="22"/>
        </w:rPr>
        <w:t xml:space="preserve">The contracting authority reserves the right to vary quantities specified </w:t>
      </w:r>
      <w:proofErr w:type="spellStart"/>
      <w:r w:rsidR="004B5B35">
        <w:rPr>
          <w:rFonts w:ascii="Times New Roman" w:hAnsi="Times New Roman"/>
          <w:sz w:val="22"/>
          <w:szCs w:val="22"/>
        </w:rPr>
        <w:t>inthetenderby</w:t>
      </w:r>
      <w:proofErr w:type="spellEnd"/>
      <w:r w:rsidR="004B5B35">
        <w:rPr>
          <w:rFonts w:ascii="Times New Roman" w:hAnsi="Times New Roman"/>
          <w:sz w:val="22"/>
          <w:szCs w:val="22"/>
        </w:rPr>
        <w:t xml:space="preserve"> +/- 100</w:t>
      </w:r>
      <w:r w:rsidR="004B5B35">
        <w:rPr>
          <w:rFonts w:ascii="Times New Roman" w:hAnsi="Times New Roman"/>
          <w:w w:val="50"/>
          <w:sz w:val="22"/>
          <w:szCs w:val="22"/>
        </w:rPr>
        <w:t> </w:t>
      </w:r>
      <w:r w:rsidR="004B5B35">
        <w:rPr>
          <w:rFonts w:ascii="Times New Roman" w:hAnsi="Times New Roman"/>
          <w:sz w:val="22"/>
          <w:szCs w:val="22"/>
        </w:rPr>
        <w:t xml:space="preserve">% at the time of contracting and during the validity of the contract. The total value of the supplies may not, </w:t>
      </w:r>
      <w:proofErr w:type="gramStart"/>
      <w:r w:rsidR="004B5B35">
        <w:rPr>
          <w:rFonts w:ascii="Times New Roman" w:hAnsi="Times New Roman"/>
          <w:sz w:val="22"/>
          <w:szCs w:val="22"/>
        </w:rPr>
        <w:t>as a result of</w:t>
      </w:r>
      <w:proofErr w:type="gramEnd"/>
      <w:r w:rsidR="004B5B35">
        <w:rPr>
          <w:rFonts w:ascii="Times New Roman" w:hAnsi="Times New Roman"/>
          <w:sz w:val="22"/>
          <w:szCs w:val="22"/>
        </w:rPr>
        <w:t xml:space="preserve"> the variation rise or fall by more than 25</w:t>
      </w:r>
      <w:r w:rsidR="004B5B35">
        <w:rPr>
          <w:rFonts w:ascii="Times New Roman" w:hAnsi="Times New Roman"/>
          <w:w w:val="50"/>
          <w:sz w:val="22"/>
          <w:szCs w:val="22"/>
        </w:rPr>
        <w:t> </w:t>
      </w:r>
      <w:r w:rsidR="004B5B35">
        <w:rPr>
          <w:rFonts w:ascii="Times New Roman" w:hAnsi="Times New Roman"/>
          <w:sz w:val="22"/>
          <w:szCs w:val="22"/>
        </w:rPr>
        <w:t xml:space="preserve">% of the original financial offer in the tender. The unit prices quoted in the tender shall be used. </w:t>
      </w:r>
    </w:p>
    <w:p w14:paraId="4FE9362B" w14:textId="77777777" w:rsidR="004B5B35" w:rsidRDefault="004B5B35" w:rsidP="004B5B35">
      <w:pPr>
        <w:pStyle w:val="Heading2"/>
        <w:keepNext w:val="0"/>
        <w:ind w:left="567" w:hanging="567"/>
        <w:jc w:val="both"/>
        <w:rPr>
          <w:rFonts w:ascii="Times New Roman" w:hAnsi="Times New Roman"/>
          <w:lang w:val="en-GB"/>
        </w:rPr>
      </w:pPr>
      <w:r>
        <w:rPr>
          <w:rFonts w:ascii="Times New Roman" w:hAnsi="Times New Roman"/>
          <w:sz w:val="22"/>
          <w:szCs w:val="22"/>
          <w:lang w:val="en-GB"/>
        </w:rPr>
        <w:t>22.2</w:t>
      </w:r>
      <w:r>
        <w:rPr>
          <w:rFonts w:ascii="Times New Roman" w:hAnsi="Times New Roman"/>
          <w:sz w:val="22"/>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14:paraId="40CFE989" w14:textId="77777777" w:rsidR="004B5B35" w:rsidRDefault="004B5B35" w:rsidP="004B5B35">
      <w:pPr>
        <w:pStyle w:val="Heading2"/>
        <w:keepNext w:val="0"/>
        <w:ind w:left="567" w:hanging="567"/>
        <w:jc w:val="both"/>
        <w:rPr>
          <w:rFonts w:ascii="Times New Roman" w:hAnsi="Times New Roman"/>
          <w:sz w:val="22"/>
          <w:lang w:val="en-GB"/>
        </w:rPr>
      </w:pPr>
      <w:r>
        <w:rPr>
          <w:rFonts w:ascii="Times New Roman" w:hAnsi="Times New Roman"/>
          <w:sz w:val="22"/>
          <w:szCs w:val="22"/>
          <w:lang w:val="en-GB"/>
        </w:rPr>
        <w:t>22.3</w:t>
      </w:r>
      <w:r>
        <w:rPr>
          <w:rFonts w:ascii="Times New Roman" w:hAnsi="Times New Roman"/>
          <w:sz w:val="22"/>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14:paraId="033F056A" w14:textId="77777777" w:rsidR="004B5B35" w:rsidRDefault="004B5B35" w:rsidP="004B5B35">
      <w:pPr>
        <w:tabs>
          <w:tab w:val="num" w:pos="709"/>
        </w:tabs>
        <w:ind w:left="567" w:hanging="567"/>
        <w:jc w:val="both"/>
        <w:outlineLvl w:val="0"/>
        <w:rPr>
          <w:rFonts w:ascii="Times New Roman" w:hAnsi="Times New Roman"/>
          <w:sz w:val="22"/>
        </w:rPr>
      </w:pPr>
      <w:r>
        <w:rPr>
          <w:rFonts w:ascii="Times New Roman" w:hAnsi="Times New Roman"/>
          <w:sz w:val="22"/>
          <w:szCs w:val="22"/>
        </w:rPr>
        <w:t>22.4</w:t>
      </w:r>
      <w:r>
        <w:rPr>
          <w:rFonts w:ascii="Times New Roman" w:hAnsi="Times New Roman"/>
        </w:rPr>
        <w:tab/>
      </w:r>
      <w:r>
        <w:rPr>
          <w:rFonts w:ascii="Times New Roman" w:hAnsi="Times New Roman"/>
          <w:sz w:val="22"/>
          <w:szCs w:val="22"/>
        </w:rPr>
        <w:t xml:space="preserve">No performance </w:t>
      </w:r>
      <w:proofErr w:type="spellStart"/>
      <w:r>
        <w:rPr>
          <w:rFonts w:ascii="Times New Roman" w:hAnsi="Times New Roman"/>
          <w:sz w:val="22"/>
          <w:szCs w:val="22"/>
        </w:rPr>
        <w:t>gurantee</w:t>
      </w:r>
      <w:proofErr w:type="spellEnd"/>
      <w:r>
        <w:rPr>
          <w:rFonts w:ascii="Times New Roman" w:hAnsi="Times New Roman"/>
          <w:sz w:val="22"/>
          <w:szCs w:val="22"/>
        </w:rPr>
        <w:t xml:space="preserve"> is </w:t>
      </w:r>
      <w:proofErr w:type="spellStart"/>
      <w:proofErr w:type="gramStart"/>
      <w:r>
        <w:rPr>
          <w:rFonts w:ascii="Times New Roman" w:hAnsi="Times New Roman"/>
          <w:sz w:val="22"/>
          <w:szCs w:val="22"/>
        </w:rPr>
        <w:t>required.</w:t>
      </w:r>
      <w:r>
        <w:rPr>
          <w:rFonts w:ascii="Times New Roman" w:hAnsi="Times New Roman"/>
          <w:sz w:val="22"/>
        </w:rPr>
        <w:t>The</w:t>
      </w:r>
      <w:proofErr w:type="spellEnd"/>
      <w:proofErr w:type="gramEnd"/>
      <w:r>
        <w:rPr>
          <w:rFonts w:ascii="Times New Roman" w:hAnsi="Times New Roman"/>
          <w:sz w:val="22"/>
        </w:rPr>
        <w:t xml:space="preserve"> performance guarantee referred to in the general conditions is set at 0 % of the amount of the contract. The performance guarantee must be </w:t>
      </w:r>
      <w:r>
        <w:rPr>
          <w:rFonts w:ascii="Times New Roman" w:hAnsi="Times New Roman"/>
          <w:sz w:val="22"/>
        </w:rPr>
        <w:lastRenderedPageBreak/>
        <w:t xml:space="preserve">presented in the form specified in the annex to the tender dossier. It will be released within 60 days of the issue of the final acceptance certificate by the contracting authority, except for the proportion assigned to after-sales </w:t>
      </w:r>
      <w:proofErr w:type="spellStart"/>
      <w:proofErr w:type="gramStart"/>
      <w:r>
        <w:rPr>
          <w:rFonts w:ascii="Times New Roman" w:hAnsi="Times New Roman"/>
          <w:sz w:val="22"/>
        </w:rPr>
        <w:t>service.For</w:t>
      </w:r>
      <w:proofErr w:type="spellEnd"/>
      <w:proofErr w:type="gramEnd"/>
      <w:r>
        <w:rPr>
          <w:rFonts w:ascii="Times New Roman" w:hAnsi="Times New Roman"/>
          <w:sz w:val="22"/>
        </w:rPr>
        <w:t xml:space="preserve"> contracts of EUR 150 000 or below, on the basis of objective criteria such as the type and value of the contract, the contracting authority may decide not to require such a guarantee.</w:t>
      </w:r>
    </w:p>
    <w:p w14:paraId="664EB844" w14:textId="15CCF7C7" w:rsidR="0047783A" w:rsidRPr="00C348C0" w:rsidRDefault="00EA1ADC" w:rsidP="00C348C0">
      <w:pPr>
        <w:pStyle w:val="Heading1"/>
        <w:numPr>
          <w:ilvl w:val="0"/>
          <w:numId w:val="0"/>
        </w:numPr>
        <w:rPr>
          <w:lang w:val="en-GB"/>
        </w:rPr>
      </w:pPr>
      <w:bookmarkStart w:id="34" w:name="_Toc41467299"/>
      <w:bookmarkStart w:id="35" w:name="_Toc42488091"/>
      <w:r w:rsidRPr="00C348C0">
        <w:rPr>
          <w:lang w:val="en-GB"/>
        </w:rPr>
        <w:t>23.</w:t>
      </w:r>
      <w:r w:rsidRPr="00C348C0">
        <w:rPr>
          <w:lang w:val="en-GB"/>
        </w:rPr>
        <w:tab/>
      </w:r>
      <w:r w:rsidR="0047783A" w:rsidRPr="00C348C0">
        <w:rPr>
          <w:lang w:val="en-GB"/>
        </w:rPr>
        <w:t>Tender guarantee</w:t>
      </w:r>
      <w:bookmarkEnd w:id="34"/>
      <w:bookmarkEnd w:id="35"/>
    </w:p>
    <w:p w14:paraId="1D513EBB" w14:textId="337F588D" w:rsidR="008718AA" w:rsidRPr="00E82463" w:rsidRDefault="00D1398A" w:rsidP="000D66C0">
      <w:pPr>
        <w:ind w:left="567"/>
        <w:jc w:val="both"/>
        <w:outlineLvl w:val="0"/>
        <w:rPr>
          <w:rFonts w:ascii="Times New Roman" w:hAnsi="Times New Roman"/>
          <w:sz w:val="22"/>
        </w:rPr>
      </w:pPr>
      <w:r w:rsidRPr="00F20763">
        <w:rPr>
          <w:rFonts w:ascii="Times New Roman" w:hAnsi="Times New Roman"/>
          <w:sz w:val="22"/>
          <w:szCs w:val="22"/>
        </w:rPr>
        <w:t>No tender guarantee is required</w:t>
      </w:r>
      <w:r w:rsidRPr="00F20763">
        <w:rPr>
          <w:rFonts w:ascii="Times New Roman" w:hAnsi="Times New Roman"/>
        </w:rPr>
        <w:t>.</w:t>
      </w:r>
    </w:p>
    <w:p w14:paraId="50E057AF" w14:textId="77777777" w:rsidR="0047783A" w:rsidRPr="00C348C0" w:rsidRDefault="00EA1ADC" w:rsidP="00C348C0">
      <w:pPr>
        <w:pStyle w:val="Heading1"/>
        <w:numPr>
          <w:ilvl w:val="0"/>
          <w:numId w:val="0"/>
        </w:numPr>
        <w:rPr>
          <w:lang w:val="en-GB"/>
        </w:rPr>
      </w:pPr>
      <w:bookmarkStart w:id="36" w:name="_Toc41467300"/>
      <w:bookmarkStart w:id="37" w:name="_Toc42488092"/>
      <w:r w:rsidRPr="00C348C0">
        <w:rPr>
          <w:lang w:val="en-GB"/>
        </w:rPr>
        <w:t xml:space="preserve">24. </w:t>
      </w:r>
      <w:r w:rsidR="0047783A" w:rsidRPr="00C348C0">
        <w:rPr>
          <w:lang w:val="en-GB"/>
        </w:rPr>
        <w:t>Ethics clauses</w:t>
      </w:r>
      <w:bookmarkEnd w:id="36"/>
      <w:bookmarkEnd w:id="37"/>
      <w:r w:rsidR="00442FF2">
        <w:rPr>
          <w:lang w:val="en-GB"/>
        </w:rPr>
        <w:t xml:space="preserve"> and code of conduct</w:t>
      </w:r>
    </w:p>
    <w:p w14:paraId="4990C6EA" w14:textId="77777777"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522BDFE4"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w:t>
      </w:r>
      <w:proofErr w:type="gramStart"/>
      <w:r w:rsidRPr="00C348C0">
        <w:rPr>
          <w:rFonts w:ascii="Times New Roman" w:hAnsi="Times New Roman"/>
          <w:sz w:val="22"/>
          <w:szCs w:val="22"/>
        </w:rPr>
        <w:t>evaluating</w:t>
      </w:r>
      <w:proofErr w:type="gramEnd"/>
      <w:r w:rsidRPr="00C348C0">
        <w:rPr>
          <w:rFonts w:ascii="Times New Roman" w:hAnsi="Times New Roman"/>
          <w:sz w:val="22"/>
          <w:szCs w:val="22"/>
        </w:rPr>
        <w:t xml:space="preserve"> and comparing tenders will lead to the rejection of its tender and may result in administrative penalties according to the Financial Regulation in force. </w:t>
      </w:r>
    </w:p>
    <w:p w14:paraId="78390258"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3E1BE5FA" w14:textId="77777777"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xml:space="preserve">. </w:t>
      </w:r>
      <w:proofErr w:type="gramStart"/>
      <w:r w:rsidRPr="00C348C0">
        <w:rPr>
          <w:rFonts w:ascii="Times New Roman" w:hAnsi="Times New Roman"/>
          <w:sz w:val="22"/>
          <w:szCs w:val="22"/>
        </w:rPr>
        <w:t>In particular and</w:t>
      </w:r>
      <w:proofErr w:type="gramEnd"/>
      <w:r w:rsidRPr="00C348C0">
        <w:rPr>
          <w:rFonts w:ascii="Times New Roman" w:hAnsi="Times New Roman"/>
          <w:sz w:val="22"/>
          <w:szCs w:val="22"/>
        </w:rPr>
        <w:t xml:space="preserve">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F5272F9"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w:t>
      </w:r>
      <w:proofErr w:type="gramStart"/>
      <w:r w:rsidRPr="00C348C0">
        <w:rPr>
          <w:rFonts w:ascii="Times New Roman" w:hAnsi="Times New Roman"/>
          <w:b/>
          <w:sz w:val="22"/>
          <w:szCs w:val="22"/>
        </w:rPr>
        <w:t>abuse</w:t>
      </w:r>
      <w:proofErr w:type="gramEnd"/>
      <w:r w:rsidR="00386409">
        <w:rPr>
          <w:rFonts w:ascii="Times New Roman" w:hAnsi="Times New Roman"/>
          <w:b/>
          <w:sz w:val="22"/>
          <w:szCs w:val="22"/>
        </w:rPr>
        <w:t xml:space="preserve"> and harassment</w:t>
      </w:r>
      <w:r w:rsidRPr="00C348C0">
        <w:rPr>
          <w:rFonts w:ascii="Times New Roman" w:hAnsi="Times New Roman"/>
          <w:b/>
          <w:sz w:val="22"/>
          <w:szCs w:val="22"/>
        </w:rPr>
        <w:t>:</w:t>
      </w:r>
    </w:p>
    <w:p w14:paraId="29119B6A"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23840CFF"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w:t>
      </w:r>
      <w:proofErr w:type="gramStart"/>
      <w:r w:rsidRPr="00C348C0">
        <w:rPr>
          <w:rFonts w:ascii="Times New Roman" w:hAnsi="Times New Roman"/>
          <w:sz w:val="22"/>
          <w:szCs w:val="22"/>
        </w:rPr>
        <w:t>harassment</w:t>
      </w:r>
      <w:proofErr w:type="gramEnd"/>
      <w:r w:rsidRPr="00C348C0">
        <w:rPr>
          <w:rFonts w:ascii="Times New Roman" w:hAnsi="Times New Roman"/>
          <w:sz w:val="22"/>
          <w:szCs w:val="22"/>
        </w:rPr>
        <w:t xml:space="preserve"> and verbal abuse, as well as other forms of intimidation shall be prohibited. </w:t>
      </w:r>
    </w:p>
    <w:p w14:paraId="1BF36429" w14:textId="77777777" w:rsidR="00442FF2" w:rsidRPr="00C348C0" w:rsidRDefault="00442FF2" w:rsidP="00442FF2">
      <w:pPr>
        <w:keepNext/>
        <w:ind w:left="420"/>
        <w:jc w:val="both"/>
        <w:rPr>
          <w:rFonts w:ascii="Times New Roman" w:hAnsi="Times New Roman"/>
          <w:sz w:val="22"/>
          <w:szCs w:val="22"/>
        </w:rPr>
      </w:pPr>
    </w:p>
    <w:p w14:paraId="63564458"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7F88E0CC"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 xml:space="preserve">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w:t>
      </w:r>
      <w:proofErr w:type="gramStart"/>
      <w:r w:rsidRPr="00C348C0">
        <w:rPr>
          <w:rFonts w:ascii="Times New Roman" w:hAnsi="Times New Roman"/>
          <w:sz w:val="22"/>
          <w:szCs w:val="22"/>
        </w:rPr>
        <w:t>gratuity</w:t>
      </w:r>
      <w:proofErr w:type="gramEnd"/>
      <w:r w:rsidRPr="00C348C0">
        <w:rPr>
          <w:rFonts w:ascii="Times New Roman" w:hAnsi="Times New Roman"/>
          <w:sz w:val="22"/>
          <w:szCs w:val="22"/>
        </w:rPr>
        <w:t xml:space="preserve"> or commission to any person as an inducement </w:t>
      </w:r>
      <w:r w:rsidRPr="00C348C0">
        <w:rPr>
          <w:rFonts w:ascii="Times New Roman" w:hAnsi="Times New Roman"/>
          <w:sz w:val="22"/>
          <w:szCs w:val="22"/>
        </w:rPr>
        <w:lastRenderedPageBreak/>
        <w:t>or reward for performing or refraining from any act relating to the award of a contract or execution of a contract already concluded with the contracting authority.</w:t>
      </w:r>
    </w:p>
    <w:p w14:paraId="4124E37A"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3F37926B"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 xml:space="preserve">Tenders will be </w:t>
      </w:r>
      <w:proofErr w:type="gramStart"/>
      <w:r w:rsidRPr="00C348C0">
        <w:rPr>
          <w:rFonts w:ascii="Times New Roman" w:hAnsi="Times New Roman"/>
          <w:sz w:val="22"/>
          <w:szCs w:val="22"/>
        </w:rPr>
        <w:t>rejected</w:t>
      </w:r>
      <w:proofErr w:type="gramEnd"/>
      <w:r w:rsidRPr="00C348C0">
        <w:rPr>
          <w:rFonts w:ascii="Times New Roman" w:hAnsi="Times New Roman"/>
          <w:sz w:val="22"/>
          <w:szCs w:val="22"/>
        </w:rPr>
        <w:t xml:space="preserve">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w:t>
      </w:r>
      <w:proofErr w:type="gramStart"/>
      <w:r w:rsidRPr="00C348C0">
        <w:rPr>
          <w:rFonts w:ascii="Times New Roman" w:hAnsi="Times New Roman"/>
          <w:sz w:val="22"/>
          <w:szCs w:val="22"/>
        </w:rPr>
        <w:t>identified</w:t>
      </w:r>
      <w:proofErr w:type="gramEnd"/>
      <w:r w:rsidRPr="00C348C0">
        <w:rPr>
          <w:rFonts w:ascii="Times New Roman" w:hAnsi="Times New Roman"/>
          <w:sz w:val="22"/>
          <w:szCs w:val="22"/>
        </w:rPr>
        <w:t xml:space="preserve"> or commissions paid to a company which has every appearance of being a front company.</w:t>
      </w:r>
    </w:p>
    <w:p w14:paraId="51F8D734"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264D8E8"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xml:space="preserve">, </w:t>
      </w:r>
      <w:proofErr w:type="gramStart"/>
      <w:r w:rsidR="00442FF2" w:rsidRPr="00C348C0">
        <w:rPr>
          <w:rFonts w:ascii="Times New Roman" w:hAnsi="Times New Roman"/>
          <w:sz w:val="22"/>
          <w:u w:val="single"/>
          <w:lang w:val="en-GB"/>
        </w:rPr>
        <w:t>irregularities</w:t>
      </w:r>
      <w:proofErr w:type="gramEnd"/>
      <w:r w:rsidR="00442FF2" w:rsidRPr="00C348C0">
        <w:rPr>
          <w:rFonts w:ascii="Times New Roman" w:hAnsi="Times New Roman"/>
          <w:sz w:val="22"/>
          <w:u w:val="single"/>
          <w:lang w:val="en-GB"/>
        </w:rPr>
        <w:t xml:space="preserve"> or fraud</w:t>
      </w:r>
    </w:p>
    <w:p w14:paraId="01E20F28"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xml:space="preserve">, </w:t>
      </w:r>
      <w:proofErr w:type="gramStart"/>
      <w:r w:rsidRPr="00C348C0">
        <w:rPr>
          <w:rFonts w:ascii="Times New Roman" w:hAnsi="Times New Roman"/>
          <w:sz w:val="22"/>
          <w:szCs w:val="22"/>
        </w:rPr>
        <w:t>irregularities</w:t>
      </w:r>
      <w:proofErr w:type="gramEnd"/>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586C20F6" w14:textId="77777777" w:rsidR="00442FF2" w:rsidRPr="00C348C0" w:rsidRDefault="00442FF2" w:rsidP="00442FF2">
      <w:pPr>
        <w:ind w:left="567"/>
        <w:jc w:val="both"/>
        <w:rPr>
          <w:rFonts w:ascii="Times New Roman" w:hAnsi="Times New Roman"/>
          <w:sz w:val="22"/>
          <w:szCs w:val="22"/>
        </w:rPr>
      </w:pPr>
    </w:p>
    <w:p w14:paraId="47395662" w14:textId="77777777" w:rsidR="0047783A" w:rsidRPr="00C348C0" w:rsidRDefault="00EA1ADC" w:rsidP="00C348C0">
      <w:pPr>
        <w:pStyle w:val="Heading1"/>
        <w:numPr>
          <w:ilvl w:val="0"/>
          <w:numId w:val="0"/>
        </w:numPr>
        <w:rPr>
          <w:lang w:val="en-GB"/>
        </w:rPr>
      </w:pPr>
      <w:bookmarkStart w:id="38" w:name="_Toc42488093"/>
      <w:r w:rsidRPr="00C348C0">
        <w:rPr>
          <w:lang w:val="en-GB"/>
        </w:rPr>
        <w:t>25.</w:t>
      </w:r>
      <w:r w:rsidRPr="00C348C0">
        <w:rPr>
          <w:lang w:val="en-GB"/>
        </w:rPr>
        <w:tab/>
      </w:r>
      <w:r w:rsidR="0047783A" w:rsidRPr="00C348C0">
        <w:rPr>
          <w:lang w:val="en-GB"/>
        </w:rPr>
        <w:t>Cancellation of the tender procedure</w:t>
      </w:r>
      <w:bookmarkEnd w:id="38"/>
    </w:p>
    <w:p w14:paraId="7DB3D659" w14:textId="77777777"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773311FC"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7D45E1E9"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 xml:space="preserve">tender has been received or there has been no valid response at </w:t>
      </w:r>
      <w:proofErr w:type="gramStart"/>
      <w:r w:rsidRPr="00E82463">
        <w:rPr>
          <w:sz w:val="22"/>
        </w:rPr>
        <w:t>all;</w:t>
      </w:r>
      <w:proofErr w:type="gramEnd"/>
    </w:p>
    <w:p w14:paraId="7CF8A11A"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proofErr w:type="gramStart"/>
      <w:r w:rsidRPr="00E82463">
        <w:rPr>
          <w:sz w:val="22"/>
        </w:rPr>
        <w:t>fundamentally;</w:t>
      </w:r>
      <w:proofErr w:type="gramEnd"/>
    </w:p>
    <w:p w14:paraId="69494D37"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w:t>
      </w:r>
      <w:proofErr w:type="gramStart"/>
      <w:r w:rsidRPr="00E82463">
        <w:rPr>
          <w:sz w:val="22"/>
        </w:rPr>
        <w:t>impossible;</w:t>
      </w:r>
      <w:proofErr w:type="gramEnd"/>
    </w:p>
    <w:p w14:paraId="3C24310A"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 xml:space="preserve">tenders exceed the financial resources </w:t>
      </w:r>
      <w:proofErr w:type="gramStart"/>
      <w:r w:rsidRPr="00E82463">
        <w:rPr>
          <w:sz w:val="22"/>
        </w:rPr>
        <w:t>available;</w:t>
      </w:r>
      <w:proofErr w:type="gramEnd"/>
    </w:p>
    <w:p w14:paraId="537A225A"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w:t>
      </w:r>
      <w:proofErr w:type="gramStart"/>
      <w:r w:rsidRPr="00E82463">
        <w:rPr>
          <w:sz w:val="22"/>
        </w:rPr>
        <w:t>have</w:t>
      </w:r>
      <w:proofErr w:type="gramEnd"/>
      <w:r w:rsidRPr="00E82463">
        <w:rPr>
          <w:sz w:val="22"/>
        </w:rPr>
        <w:t xml:space="preser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0F84A8BF"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proofErr w:type="gramStart"/>
      <w:r w:rsidRPr="00E82463">
        <w:rPr>
          <w:sz w:val="22"/>
          <w:szCs w:val="22"/>
        </w:rPr>
        <w:t>i.e.</w:t>
      </w:r>
      <w:proofErr w:type="gramEnd"/>
      <w:r w:rsidRPr="00E82463">
        <w:rPr>
          <w:sz w:val="22"/>
          <w:szCs w:val="22"/>
        </w:rPr>
        <w:t xml:space="preserv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6F4A56E4" w14:textId="77777777" w:rsidR="0047783A" w:rsidRPr="00E82463" w:rsidRDefault="0047783A" w:rsidP="0047783A">
      <w:pPr>
        <w:pStyle w:val="BodyText2"/>
        <w:tabs>
          <w:tab w:val="left" w:pos="567"/>
        </w:tabs>
        <w:spacing w:before="120" w:after="120"/>
        <w:ind w:left="567"/>
        <w:rPr>
          <w:b/>
          <w:sz w:val="22"/>
          <w:szCs w:val="22"/>
        </w:rPr>
      </w:pPr>
      <w:r w:rsidRPr="00E82463">
        <w:rPr>
          <w:b/>
          <w:sz w:val="22"/>
          <w:szCs w:val="22"/>
        </w:rPr>
        <w:lastRenderedPageBreak/>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14:paraId="11F448D0" w14:textId="77777777"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14:paraId="639A2143" w14:textId="77777777"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2AFAEF0B" w14:textId="77777777" w:rsidR="00A50D37" w:rsidRPr="00FC6A15" w:rsidRDefault="00FC6A15" w:rsidP="00A50D37">
      <w:pPr>
        <w:keepNext/>
        <w:jc w:val="both"/>
        <w:rPr>
          <w:rFonts w:ascii="Times New Roman" w:hAnsi="Times New Roman"/>
          <w:b/>
          <w:bCs/>
          <w:sz w:val="24"/>
          <w:szCs w:val="24"/>
        </w:rPr>
      </w:pPr>
      <w:r w:rsidRPr="00FC6A15" w:rsidDel="00FC6A15">
        <w:rPr>
          <w:szCs w:val="24"/>
        </w:rPr>
        <w:t xml:space="preserve"> </w:t>
      </w:r>
      <w:r w:rsidR="00A50D37" w:rsidRPr="00FC6A15">
        <w:rPr>
          <w:rFonts w:ascii="Times New Roman" w:hAnsi="Times New Roman"/>
          <w:b/>
          <w:bCs/>
          <w:sz w:val="24"/>
          <w:szCs w:val="24"/>
        </w:rPr>
        <w:t>27. Data Protection</w:t>
      </w:r>
    </w:p>
    <w:p w14:paraId="36AD9A0E" w14:textId="77777777" w:rsidR="00EA5F1F" w:rsidRDefault="00EA5F1F" w:rsidP="00EA5F1F">
      <w:pPr>
        <w:tabs>
          <w:tab w:val="left" w:pos="567"/>
        </w:tabs>
        <w:ind w:left="567"/>
        <w:jc w:val="both"/>
        <w:rPr>
          <w:rFonts w:ascii="Times New Roman" w:hAnsi="Times New Roman"/>
          <w:snapToGrid/>
          <w:sz w:val="22"/>
          <w:szCs w:val="22"/>
        </w:rPr>
      </w:pPr>
      <w:r>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3CFBCC75" w14:textId="77777777" w:rsidR="00EA5F1F" w:rsidRDefault="00EA5F1F" w:rsidP="00EA5F1F">
      <w:pPr>
        <w:tabs>
          <w:tab w:val="left" w:pos="567"/>
        </w:tabs>
        <w:ind w:left="567"/>
        <w:jc w:val="both"/>
        <w:rPr>
          <w:rFonts w:ascii="Times New Roman" w:hAnsi="Times New Roman"/>
          <w:sz w:val="22"/>
          <w:szCs w:val="22"/>
        </w:rPr>
      </w:pPr>
      <w:r>
        <w:rPr>
          <w:rFonts w:ascii="Times New Roman" w:hAnsi="Times New Roman"/>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w:t>
      </w:r>
      <w:proofErr w:type="spellStart"/>
      <w:r>
        <w:rPr>
          <w:rFonts w:ascii="Times New Roman" w:hAnsi="Times New Roman"/>
          <w:sz w:val="22"/>
          <w:szCs w:val="22"/>
        </w:rPr>
        <w:t>applicationof</w:t>
      </w:r>
      <w:proofErr w:type="spellEnd"/>
      <w:r>
        <w:rPr>
          <w:rFonts w:ascii="Times New Roman" w:hAnsi="Times New Roman"/>
          <w:sz w:val="22"/>
          <w:szCs w:val="22"/>
        </w:rPr>
        <w:t xml:space="preserve"> EU law. For the part of the data transferred by the contracting authority to the European Commission, the controller for the processing of personal data carried out within the Commission is the head of contracts and finance unit R4 of DG Neighbourhood and Enlargement Negotiations.</w:t>
      </w:r>
    </w:p>
    <w:p w14:paraId="22DF7607" w14:textId="77777777" w:rsidR="00EA5F1F" w:rsidRDefault="00EA5F1F" w:rsidP="00EA5F1F">
      <w:pPr>
        <w:tabs>
          <w:tab w:val="left" w:pos="567"/>
        </w:tabs>
        <w:ind w:left="567"/>
        <w:jc w:val="both"/>
        <w:rPr>
          <w:rFonts w:ascii="Times New Roman" w:hAnsi="Times New Roman"/>
          <w:sz w:val="22"/>
          <w:szCs w:val="22"/>
        </w:rPr>
      </w:pPr>
      <w:r>
        <w:rPr>
          <w:rFonts w:ascii="Times New Roman" w:hAnsi="Times New Roman"/>
          <w:sz w:val="22"/>
          <w:szCs w:val="22"/>
        </w:rPr>
        <w:t>Details concerning processing of your personal data by the Commission are available on the privacy statement at:</w:t>
      </w:r>
    </w:p>
    <w:p w14:paraId="71BFB5FE" w14:textId="77777777" w:rsidR="00EA5F1F" w:rsidRDefault="00EA5F1F" w:rsidP="00EA5F1F">
      <w:pPr>
        <w:tabs>
          <w:tab w:val="left" w:pos="567"/>
        </w:tabs>
        <w:ind w:left="567"/>
        <w:jc w:val="center"/>
        <w:rPr>
          <w:rFonts w:ascii="Times New Roman" w:hAnsi="Times New Roman"/>
          <w:sz w:val="22"/>
          <w:szCs w:val="22"/>
        </w:rPr>
      </w:pPr>
      <w:hyperlink r:id="rId11" w:history="1">
        <w:r>
          <w:rPr>
            <w:rStyle w:val="Hyperlink"/>
            <w:rFonts w:ascii="Times New Roman" w:hAnsi="Times New Roman"/>
            <w:sz w:val="22"/>
            <w:szCs w:val="22"/>
          </w:rPr>
          <w:t>http://ec.europa.eu/europeaid/prag/annexes.do?chapterTitleCode=A</w:t>
        </w:r>
      </w:hyperlink>
    </w:p>
    <w:p w14:paraId="62B5CE1A" w14:textId="77777777" w:rsidR="00EA5F1F" w:rsidRDefault="00EA5F1F" w:rsidP="00EA5F1F">
      <w:pPr>
        <w:tabs>
          <w:tab w:val="left" w:pos="567"/>
        </w:tabs>
        <w:ind w:left="567"/>
        <w:jc w:val="both"/>
        <w:rPr>
          <w:rFonts w:ascii="Times New Roman" w:hAnsi="Times New Roman"/>
          <w:sz w:val="22"/>
          <w:szCs w:val="22"/>
          <w:lang w:eastAsia="en-GB"/>
        </w:rPr>
      </w:pPr>
      <w:r>
        <w:rPr>
          <w:rFonts w:ascii="Times New Roman" w:hAnsi="Times New Roman"/>
          <w:sz w:val="22"/>
          <w:szCs w:val="22"/>
        </w:rPr>
        <w:t>In cases where you are processing personal data in the context of participation to a tender (</w:t>
      </w:r>
      <w:proofErr w:type="gramStart"/>
      <w:r>
        <w:rPr>
          <w:rFonts w:ascii="Times New Roman" w:hAnsi="Times New Roman"/>
          <w:sz w:val="22"/>
          <w:szCs w:val="22"/>
        </w:rPr>
        <w:t>e.g.</w:t>
      </w:r>
      <w:proofErr w:type="gramEnd"/>
      <w:r>
        <w:rPr>
          <w:rFonts w:ascii="Times New Roman" w:hAnsi="Times New Roman"/>
          <w:sz w:val="22"/>
          <w:szCs w:val="22"/>
        </w:rPr>
        <w:t xml:space="preserve">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37329BD8" w14:textId="77777777"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14:paraId="2B9175B4" w14:textId="77777777" w:rsidR="00130EF1" w:rsidRPr="00E82463" w:rsidRDefault="0047783A" w:rsidP="0042695A">
      <w:pPr>
        <w:pStyle w:val="BodyText"/>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r w:rsidRPr="0002493B">
        <w:rPr>
          <w:rFonts w:ascii="Times New Roman" w:hAnsi="Times New Roman"/>
          <w:sz w:val="22"/>
          <w:szCs w:val="22"/>
        </w:rPr>
        <w:t>]</w:t>
      </w:r>
    </w:p>
    <w:sectPr w:rsidR="00130EF1" w:rsidRPr="00E82463" w:rsidSect="000D0118">
      <w:headerReference w:type="default" r:id="rId12"/>
      <w:footerReference w:type="even" r:id="rId13"/>
      <w:footerReference w:type="default" r:id="rId14"/>
      <w:footerReference w:type="first" r:id="rId15"/>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BD0A" w14:textId="77777777" w:rsidR="000055D1" w:rsidRPr="006A5F84" w:rsidRDefault="000055D1">
      <w:r w:rsidRPr="006A5F84">
        <w:separator/>
      </w:r>
    </w:p>
  </w:endnote>
  <w:endnote w:type="continuationSeparator" w:id="0">
    <w:p w14:paraId="4926F207" w14:textId="77777777" w:rsidR="000055D1" w:rsidRPr="006A5F84" w:rsidRDefault="000055D1">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494E"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EA0750"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41B1" w14:textId="7DF52F48" w:rsidR="00A77708" w:rsidRPr="009423FB" w:rsidRDefault="00A1431F"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May</w:t>
    </w:r>
    <w:r w:rsidR="0042695A" w:rsidRPr="0042695A">
      <w:rPr>
        <w:rFonts w:ascii="Times New Roman" w:hAnsi="Times New Roman"/>
        <w:b/>
        <w:sz w:val="18"/>
      </w:rPr>
      <w:t xml:space="preserve"> 202</w:t>
    </w:r>
    <w:r w:rsidR="001220D1">
      <w:rPr>
        <w:rFonts w:ascii="Times New Roman" w:hAnsi="Times New Roman"/>
        <w:b/>
        <w:sz w:val="18"/>
      </w:rPr>
      <w:t>2</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2B78A7">
      <w:rPr>
        <w:rStyle w:val="PageNumber"/>
        <w:rFonts w:ascii="Times New Roman" w:hAnsi="Times New Roman"/>
        <w:noProof/>
        <w:sz w:val="18"/>
        <w:szCs w:val="18"/>
      </w:rPr>
      <w:t>9</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2B78A7">
      <w:rPr>
        <w:rStyle w:val="PageNumber"/>
        <w:rFonts w:ascii="Times New Roman" w:hAnsi="Times New Roman"/>
        <w:noProof/>
        <w:sz w:val="18"/>
        <w:szCs w:val="18"/>
      </w:rPr>
      <w:t>18</w:t>
    </w:r>
    <w:r w:rsidR="00A77708" w:rsidRPr="009423FB">
      <w:rPr>
        <w:rStyle w:val="PageNumber"/>
        <w:rFonts w:ascii="Times New Roman" w:hAnsi="Times New Roman"/>
        <w:sz w:val="18"/>
        <w:szCs w:val="18"/>
      </w:rPr>
      <w:fldChar w:fldCharType="end"/>
    </w:r>
  </w:p>
  <w:p w14:paraId="3B64CA30" w14:textId="77777777" w:rsidR="00A77708" w:rsidRPr="009423FB" w:rsidRDefault="00A77708"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442FF2">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9C7D"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76E1436B"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052D" w14:textId="77777777" w:rsidR="000055D1" w:rsidRPr="006A5F84" w:rsidRDefault="000055D1">
      <w:r w:rsidRPr="006A5F84">
        <w:separator/>
      </w:r>
    </w:p>
  </w:footnote>
  <w:footnote w:type="continuationSeparator" w:id="0">
    <w:p w14:paraId="207B58BD" w14:textId="77777777" w:rsidR="000055D1" w:rsidRPr="006A5F84" w:rsidRDefault="000055D1">
      <w:r w:rsidRPr="006A5F84">
        <w:continuationSeparator/>
      </w:r>
    </w:p>
  </w:footnote>
  <w:footnote w:id="1">
    <w:p w14:paraId="4A2B5DB2" w14:textId="77777777" w:rsidR="00177317" w:rsidRDefault="00177317" w:rsidP="00177317">
      <w:pPr>
        <w:pStyle w:val="FootnoteText"/>
        <w:spacing w:after="0"/>
        <w:jc w:val="both"/>
        <w:rPr>
          <w:lang w:val="en-GB"/>
        </w:rPr>
      </w:pPr>
      <w:r>
        <w:rPr>
          <w:rStyle w:val="FootnoteReference"/>
        </w:rPr>
        <w:footnoteRef/>
      </w:r>
      <w:r>
        <w:rPr>
          <w:lang w:val="en-GB"/>
        </w:rPr>
        <w:t>See PRAG Section 2.6.10.1.3 A)</w:t>
      </w:r>
    </w:p>
  </w:footnote>
  <w:footnote w:id="2">
    <w:p w14:paraId="2B110358" w14:textId="77777777"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F767" w14:textId="77777777" w:rsidR="00CA0FCF" w:rsidRPr="00CA0FCF" w:rsidRDefault="00000000" w:rsidP="00CA0FCF">
    <w:pPr>
      <w:pBdr>
        <w:bottom w:val="single" w:sz="12" w:space="1" w:color="auto"/>
      </w:pBdr>
      <w:tabs>
        <w:tab w:val="left" w:pos="450"/>
        <w:tab w:val="center" w:pos="4320"/>
        <w:tab w:val="right" w:pos="8640"/>
      </w:tabs>
      <w:spacing w:before="0" w:after="0"/>
      <w:ind w:left="-450" w:right="-540"/>
      <w:rPr>
        <w:rFonts w:ascii="Times New Roman" w:hAnsi="Times New Roman"/>
        <w:snapToGrid/>
        <w:sz w:val="24"/>
        <w:lang w:val="fr-FR" w:eastAsia="en-GB"/>
      </w:rPr>
    </w:pPr>
    <w:bookmarkStart w:id="39" w:name="_Hlk108775508"/>
    <w:bookmarkStart w:id="40" w:name="_Hlk108775509"/>
    <w:r>
      <w:rPr>
        <w:rFonts w:ascii="Times New Roman" w:hAnsi="Times New Roman"/>
        <w:noProof/>
        <w:snapToGrid/>
        <w:sz w:val="24"/>
        <w:lang w:val="fr-FR" w:eastAsia="en-GB"/>
      </w:rPr>
      <w:pict w14:anchorId="3145A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Logo, company name&#10;&#10;Description automatically generated" style="position:absolute;left:0;text-align:left;margin-left:396.45pt;margin-top:-19.15pt;width:58.45pt;height:58.45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Logo, company name&#10;&#10;Description automatically generated"/>
        </v:shape>
      </w:pict>
    </w:r>
    <w:r>
      <w:rPr>
        <w:rFonts w:ascii="Times New Roman" w:hAnsi="Times New Roman"/>
        <w:noProof/>
        <w:snapToGrid/>
        <w:sz w:val="24"/>
        <w:lang w:val="fr-FR" w:eastAsia="en-GB"/>
      </w:rPr>
      <w:pict w14:anchorId="57A5573A">
        <v:shape id="Picture 4" o:spid="_x0000_s1027" type="#_x0000_t75" alt="Logo&#10;&#10;Description automatically generated" style="position:absolute;left:0;text-align:left;margin-left:462.1pt;margin-top:-16.9pt;width:38.85pt;height:50.25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2" o:title="Logo&#10;&#10;Description automatically generated"/>
        </v:shape>
      </w:pict>
    </w:r>
    <w:r>
      <w:rPr>
        <w:rFonts w:ascii="Times New Roman" w:hAnsi="Times New Roman"/>
        <w:noProof/>
        <w:snapToGrid/>
        <w:sz w:val="24"/>
        <w:lang w:val="fr-FR" w:eastAsia="en-GB"/>
      </w:rPr>
      <w:pict w14:anchorId="7D102010">
        <v:shape id="Picture 6" o:spid="_x0000_s1025" type="#_x0000_t75" alt="Logo, company name&#10;&#10;Description automatically generated" style="position:absolute;left:0;text-align:left;margin-left:-29.4pt;margin-top:-1.9pt;width:147.05pt;height:34.1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3" o:title="Logo, company name&#10;&#10;Description automatically generated"/>
        </v:shape>
      </w:pict>
    </w:r>
    <w:r w:rsidR="00CA0FCF" w:rsidRPr="00CA0FCF">
      <w:rPr>
        <w:rFonts w:ascii="Times New Roman" w:hAnsi="Times New Roman"/>
        <w:snapToGrid/>
        <w:sz w:val="24"/>
        <w:lang w:val="fr-FR" w:eastAsia="en-GB"/>
      </w:rPr>
      <w:t xml:space="preserve">                                                        </w:t>
    </w:r>
  </w:p>
  <w:p w14:paraId="2FE21258" w14:textId="77777777" w:rsidR="00CA0FCF" w:rsidRPr="00CA0FCF" w:rsidRDefault="00CA0FCF" w:rsidP="00CA0FCF">
    <w:pPr>
      <w:pBdr>
        <w:bottom w:val="single" w:sz="12" w:space="1" w:color="auto"/>
      </w:pBdr>
      <w:tabs>
        <w:tab w:val="left" w:pos="450"/>
        <w:tab w:val="center" w:pos="4320"/>
        <w:tab w:val="right" w:pos="8640"/>
      </w:tabs>
      <w:spacing w:before="0" w:after="0"/>
      <w:ind w:left="-450" w:right="-540"/>
      <w:rPr>
        <w:rFonts w:ascii="Times New Roman" w:hAnsi="Times New Roman"/>
        <w:snapToGrid/>
        <w:sz w:val="24"/>
        <w:lang w:val="fr-FR" w:eastAsia="en-GB"/>
      </w:rPr>
    </w:pPr>
  </w:p>
  <w:p w14:paraId="0EE6916A" w14:textId="77777777" w:rsidR="00CA0FCF" w:rsidRPr="00CA0FCF" w:rsidRDefault="00CA0FCF" w:rsidP="00CA0FCF">
    <w:pPr>
      <w:pBdr>
        <w:bottom w:val="single" w:sz="12" w:space="1" w:color="auto"/>
      </w:pBdr>
      <w:tabs>
        <w:tab w:val="left" w:pos="450"/>
        <w:tab w:val="center" w:pos="4320"/>
        <w:tab w:val="right" w:pos="8640"/>
      </w:tabs>
      <w:spacing w:before="0" w:after="0"/>
      <w:ind w:left="-450" w:right="-540"/>
      <w:rPr>
        <w:rFonts w:ascii="Times New Roman" w:hAnsi="Times New Roman" w:cs="Arial"/>
        <w:snapToGrid/>
        <w:sz w:val="24"/>
        <w:lang w:val="fr-FR" w:eastAsia="en-GB"/>
      </w:rPr>
    </w:pPr>
  </w:p>
  <w:p w14:paraId="3E654203" w14:textId="77777777" w:rsidR="00CA0FCF" w:rsidRPr="00CA0FCF" w:rsidRDefault="00CA0FCF" w:rsidP="00CA0FCF">
    <w:pPr>
      <w:tabs>
        <w:tab w:val="left" w:pos="450"/>
        <w:tab w:val="center" w:pos="4320"/>
        <w:tab w:val="right" w:pos="8640"/>
      </w:tabs>
      <w:spacing w:before="0" w:after="0"/>
      <w:ind w:left="-432"/>
      <w:jc w:val="both"/>
      <w:rPr>
        <w:rFonts w:ascii="Times New Roman" w:hAnsi="Times New Roman" w:cs="Arial"/>
        <w:snapToGrid/>
        <w:sz w:val="24"/>
        <w:lang w:val="fr-FR" w:eastAsia="en-GB"/>
      </w:rPr>
    </w:pPr>
    <w:r w:rsidRPr="00CA0FCF">
      <w:rPr>
        <w:rFonts w:ascii="Times New Roman" w:hAnsi="Times New Roman" w:cs="Arial"/>
        <w:snapToGrid/>
        <w:sz w:val="24"/>
        <w:lang w:val="fr-FR" w:eastAsia="en-GB"/>
      </w:rPr>
      <w:t xml:space="preserve">Project </w:t>
    </w:r>
    <w:proofErr w:type="spellStart"/>
    <w:r w:rsidRPr="00CA0FCF">
      <w:rPr>
        <w:rFonts w:ascii="Times New Roman" w:hAnsi="Times New Roman" w:cs="Arial"/>
        <w:snapToGrid/>
        <w:sz w:val="24"/>
        <w:lang w:val="fr-FR" w:eastAsia="en-GB"/>
      </w:rPr>
      <w:t>co-funded</w:t>
    </w:r>
    <w:proofErr w:type="spellEnd"/>
    <w:r w:rsidRPr="00CA0FCF">
      <w:rPr>
        <w:rFonts w:ascii="Times New Roman" w:hAnsi="Times New Roman" w:cs="Arial"/>
        <w:snapToGrid/>
        <w:sz w:val="24"/>
        <w:lang w:val="fr-FR" w:eastAsia="en-GB"/>
      </w:rPr>
      <w:t xml:space="preserve"> by the </w:t>
    </w:r>
    <w:proofErr w:type="spellStart"/>
    <w:r w:rsidRPr="00CA0FCF">
      <w:rPr>
        <w:rFonts w:ascii="Times New Roman" w:hAnsi="Times New Roman" w:cs="Arial"/>
        <w:snapToGrid/>
        <w:sz w:val="24"/>
        <w:lang w:val="fr-FR" w:eastAsia="en-GB"/>
      </w:rPr>
      <w:t>European</w:t>
    </w:r>
    <w:proofErr w:type="spellEnd"/>
    <w:r w:rsidRPr="00CA0FCF">
      <w:rPr>
        <w:rFonts w:ascii="Times New Roman" w:hAnsi="Times New Roman" w:cs="Arial"/>
        <w:snapToGrid/>
        <w:sz w:val="24"/>
        <w:lang w:val="fr-FR" w:eastAsia="en-GB"/>
      </w:rPr>
      <w:t xml:space="preserve"> Union and national </w:t>
    </w:r>
    <w:proofErr w:type="spellStart"/>
    <w:r w:rsidRPr="00CA0FCF">
      <w:rPr>
        <w:rFonts w:ascii="Times New Roman" w:hAnsi="Times New Roman" w:cs="Arial"/>
        <w:snapToGrid/>
        <w:sz w:val="24"/>
        <w:lang w:val="fr-FR" w:eastAsia="en-GB"/>
      </w:rPr>
      <w:t>funds</w:t>
    </w:r>
    <w:proofErr w:type="spellEnd"/>
    <w:r w:rsidRPr="00CA0FCF">
      <w:rPr>
        <w:rFonts w:ascii="Times New Roman" w:hAnsi="Times New Roman" w:cs="Arial"/>
        <w:snapToGrid/>
        <w:sz w:val="24"/>
        <w:lang w:val="fr-FR" w:eastAsia="en-GB"/>
      </w:rPr>
      <w:t xml:space="preserve"> of the </w:t>
    </w:r>
    <w:proofErr w:type="spellStart"/>
    <w:r w:rsidRPr="00CA0FCF">
      <w:rPr>
        <w:rFonts w:ascii="Times New Roman" w:hAnsi="Times New Roman" w:cs="Arial"/>
        <w:snapToGrid/>
        <w:sz w:val="24"/>
        <w:lang w:val="fr-FR" w:eastAsia="en-GB"/>
      </w:rPr>
      <w:t>participating</w:t>
    </w:r>
    <w:proofErr w:type="spellEnd"/>
    <w:r w:rsidRPr="00CA0FCF">
      <w:rPr>
        <w:rFonts w:ascii="Times New Roman" w:hAnsi="Times New Roman" w:cs="Arial"/>
        <w:snapToGrid/>
        <w:sz w:val="24"/>
        <w:lang w:val="fr-FR" w:eastAsia="en-GB"/>
      </w:rPr>
      <w:t xml:space="preserve"> countries.</w:t>
    </w:r>
    <w:bookmarkEnd w:id="39"/>
    <w:bookmarkEnd w:id="40"/>
  </w:p>
  <w:p w14:paraId="139B9342" w14:textId="77777777" w:rsidR="00CA0FCF" w:rsidRDefault="00CA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A62CB1"/>
    <w:multiLevelType w:val="multilevel"/>
    <w:tmpl w:val="739A367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37101">
    <w:abstractNumId w:val="11"/>
  </w:num>
  <w:num w:numId="2" w16cid:durableId="1363244581">
    <w:abstractNumId w:val="22"/>
  </w:num>
  <w:num w:numId="3" w16cid:durableId="796028166">
    <w:abstractNumId w:val="10"/>
  </w:num>
  <w:num w:numId="4" w16cid:durableId="1886133819">
    <w:abstractNumId w:val="13"/>
  </w:num>
  <w:num w:numId="5" w16cid:durableId="1386175131">
    <w:abstractNumId w:val="24"/>
  </w:num>
  <w:num w:numId="6" w16cid:durableId="1182669363">
    <w:abstractNumId w:val="9"/>
  </w:num>
  <w:num w:numId="7" w16cid:durableId="501699410">
    <w:abstractNumId w:val="6"/>
  </w:num>
  <w:num w:numId="8" w16cid:durableId="1932813677">
    <w:abstractNumId w:val="2"/>
  </w:num>
  <w:num w:numId="9" w16cid:durableId="1175339350">
    <w:abstractNumId w:val="14"/>
  </w:num>
  <w:num w:numId="10" w16cid:durableId="551355403">
    <w:abstractNumId w:val="5"/>
  </w:num>
  <w:num w:numId="11" w16cid:durableId="404570331">
    <w:abstractNumId w:val="21"/>
  </w:num>
  <w:num w:numId="12" w16cid:durableId="1174683433">
    <w:abstractNumId w:val="12"/>
  </w:num>
  <w:num w:numId="13" w16cid:durableId="114755594">
    <w:abstractNumId w:val="7"/>
  </w:num>
  <w:num w:numId="14" w16cid:durableId="1441611388">
    <w:abstractNumId w:val="19"/>
  </w:num>
  <w:num w:numId="15" w16cid:durableId="1836678772">
    <w:abstractNumId w:val="20"/>
  </w:num>
  <w:num w:numId="16" w16cid:durableId="761141963">
    <w:abstractNumId w:val="8"/>
  </w:num>
  <w:num w:numId="17" w16cid:durableId="1477601466">
    <w:abstractNumId w:val="16"/>
  </w:num>
  <w:num w:numId="18" w16cid:durableId="837235291">
    <w:abstractNumId w:val="11"/>
  </w:num>
  <w:num w:numId="19" w16cid:durableId="1250193619">
    <w:abstractNumId w:val="11"/>
  </w:num>
  <w:num w:numId="20" w16cid:durableId="235240131">
    <w:abstractNumId w:val="25"/>
  </w:num>
  <w:num w:numId="21" w16cid:durableId="1923295137">
    <w:abstractNumId w:val="18"/>
  </w:num>
  <w:num w:numId="22" w16cid:durableId="1126965712">
    <w:abstractNumId w:val="17"/>
  </w:num>
  <w:num w:numId="23" w16cid:durableId="2075279900">
    <w:abstractNumId w:val="3"/>
  </w:num>
  <w:num w:numId="24" w16cid:durableId="1609969711">
    <w:abstractNumId w:val="11"/>
  </w:num>
  <w:num w:numId="25" w16cid:durableId="1958638175">
    <w:abstractNumId w:val="11"/>
  </w:num>
  <w:num w:numId="26" w16cid:durableId="1405373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235670470">
    <w:abstractNumId w:val="1"/>
  </w:num>
  <w:num w:numId="28" w16cid:durableId="612631838">
    <w:abstractNumId w:val="4"/>
  </w:num>
  <w:num w:numId="29" w16cid:durableId="1346515318">
    <w:abstractNumId w:val="15"/>
  </w:num>
  <w:num w:numId="30" w16cid:durableId="12698516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794239">
    <w:abstractNumId w:val="22"/>
    <w:lvlOverride w:ilvl="0">
      <w:startOverride w:val="2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000F"/>
    <w:rsid w:val="000011D7"/>
    <w:rsid w:val="000012FD"/>
    <w:rsid w:val="00001F61"/>
    <w:rsid w:val="000021E1"/>
    <w:rsid w:val="000055D1"/>
    <w:rsid w:val="00007151"/>
    <w:rsid w:val="000076C2"/>
    <w:rsid w:val="00007DCD"/>
    <w:rsid w:val="00010561"/>
    <w:rsid w:val="00010EFB"/>
    <w:rsid w:val="00016444"/>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2F02"/>
    <w:rsid w:val="0008592A"/>
    <w:rsid w:val="00085CA1"/>
    <w:rsid w:val="00087F35"/>
    <w:rsid w:val="00090987"/>
    <w:rsid w:val="0009286D"/>
    <w:rsid w:val="000947DF"/>
    <w:rsid w:val="00097737"/>
    <w:rsid w:val="000A1A71"/>
    <w:rsid w:val="000A3B36"/>
    <w:rsid w:val="000A7A2C"/>
    <w:rsid w:val="000B0983"/>
    <w:rsid w:val="000B11F4"/>
    <w:rsid w:val="000B1236"/>
    <w:rsid w:val="000B79F6"/>
    <w:rsid w:val="000C1D59"/>
    <w:rsid w:val="000C32D7"/>
    <w:rsid w:val="000C4AE6"/>
    <w:rsid w:val="000C6E69"/>
    <w:rsid w:val="000D0118"/>
    <w:rsid w:val="000D1B17"/>
    <w:rsid w:val="000D1CDA"/>
    <w:rsid w:val="000D24E3"/>
    <w:rsid w:val="000D2B44"/>
    <w:rsid w:val="000D40DB"/>
    <w:rsid w:val="000D4A00"/>
    <w:rsid w:val="000D4C36"/>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20D1"/>
    <w:rsid w:val="001229AA"/>
    <w:rsid w:val="00123EDC"/>
    <w:rsid w:val="001252C0"/>
    <w:rsid w:val="0012677D"/>
    <w:rsid w:val="0013002E"/>
    <w:rsid w:val="001302A7"/>
    <w:rsid w:val="00130548"/>
    <w:rsid w:val="001309AB"/>
    <w:rsid w:val="00130EF1"/>
    <w:rsid w:val="001320DF"/>
    <w:rsid w:val="00134586"/>
    <w:rsid w:val="0014201D"/>
    <w:rsid w:val="0014659F"/>
    <w:rsid w:val="00150767"/>
    <w:rsid w:val="001515E4"/>
    <w:rsid w:val="001536B3"/>
    <w:rsid w:val="00157C6D"/>
    <w:rsid w:val="00157DEE"/>
    <w:rsid w:val="001645AC"/>
    <w:rsid w:val="00164F15"/>
    <w:rsid w:val="00171C45"/>
    <w:rsid w:val="001766D9"/>
    <w:rsid w:val="00177317"/>
    <w:rsid w:val="00181980"/>
    <w:rsid w:val="00185973"/>
    <w:rsid w:val="00187253"/>
    <w:rsid w:val="00192430"/>
    <w:rsid w:val="001932AF"/>
    <w:rsid w:val="001937B4"/>
    <w:rsid w:val="00195CDA"/>
    <w:rsid w:val="001976A6"/>
    <w:rsid w:val="001A1207"/>
    <w:rsid w:val="001A64D9"/>
    <w:rsid w:val="001A6C79"/>
    <w:rsid w:val="001B29E8"/>
    <w:rsid w:val="001B38DA"/>
    <w:rsid w:val="001B5454"/>
    <w:rsid w:val="001B5A18"/>
    <w:rsid w:val="001B660A"/>
    <w:rsid w:val="001C7883"/>
    <w:rsid w:val="001D0532"/>
    <w:rsid w:val="001D20C7"/>
    <w:rsid w:val="001D339B"/>
    <w:rsid w:val="001D51F8"/>
    <w:rsid w:val="001E3689"/>
    <w:rsid w:val="001E377F"/>
    <w:rsid w:val="001E4648"/>
    <w:rsid w:val="001E6F09"/>
    <w:rsid w:val="001F026B"/>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2B76"/>
    <w:rsid w:val="00235BB9"/>
    <w:rsid w:val="00237F9E"/>
    <w:rsid w:val="002426D3"/>
    <w:rsid w:val="002442B7"/>
    <w:rsid w:val="002455C7"/>
    <w:rsid w:val="002456F1"/>
    <w:rsid w:val="002463B3"/>
    <w:rsid w:val="002475A9"/>
    <w:rsid w:val="0025137A"/>
    <w:rsid w:val="002514D1"/>
    <w:rsid w:val="0025177E"/>
    <w:rsid w:val="00251EA1"/>
    <w:rsid w:val="00252123"/>
    <w:rsid w:val="00253324"/>
    <w:rsid w:val="002560BB"/>
    <w:rsid w:val="002561C8"/>
    <w:rsid w:val="00260B72"/>
    <w:rsid w:val="00264ACD"/>
    <w:rsid w:val="0026542C"/>
    <w:rsid w:val="00266C6F"/>
    <w:rsid w:val="00271700"/>
    <w:rsid w:val="00272A7B"/>
    <w:rsid w:val="00272D32"/>
    <w:rsid w:val="002754D4"/>
    <w:rsid w:val="0028364A"/>
    <w:rsid w:val="00290561"/>
    <w:rsid w:val="00294190"/>
    <w:rsid w:val="002A0041"/>
    <w:rsid w:val="002A1860"/>
    <w:rsid w:val="002A2D36"/>
    <w:rsid w:val="002A6367"/>
    <w:rsid w:val="002B1865"/>
    <w:rsid w:val="002B6401"/>
    <w:rsid w:val="002B7402"/>
    <w:rsid w:val="002B78A7"/>
    <w:rsid w:val="002C09D3"/>
    <w:rsid w:val="002C1EAD"/>
    <w:rsid w:val="002C649A"/>
    <w:rsid w:val="002D0CE1"/>
    <w:rsid w:val="002D1FCC"/>
    <w:rsid w:val="002D2FC0"/>
    <w:rsid w:val="002D6EED"/>
    <w:rsid w:val="002E105B"/>
    <w:rsid w:val="002E1FB2"/>
    <w:rsid w:val="002F0817"/>
    <w:rsid w:val="002F1222"/>
    <w:rsid w:val="002F48D0"/>
    <w:rsid w:val="002F530E"/>
    <w:rsid w:val="002F6309"/>
    <w:rsid w:val="00301220"/>
    <w:rsid w:val="003051AA"/>
    <w:rsid w:val="003061F8"/>
    <w:rsid w:val="00306DE6"/>
    <w:rsid w:val="0031457C"/>
    <w:rsid w:val="003205A4"/>
    <w:rsid w:val="00322263"/>
    <w:rsid w:val="003308C6"/>
    <w:rsid w:val="003320FF"/>
    <w:rsid w:val="0033212F"/>
    <w:rsid w:val="00335103"/>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1D90"/>
    <w:rsid w:val="003925E9"/>
    <w:rsid w:val="00392A7E"/>
    <w:rsid w:val="00394E9F"/>
    <w:rsid w:val="0039791C"/>
    <w:rsid w:val="003A02A1"/>
    <w:rsid w:val="003A1270"/>
    <w:rsid w:val="003A474A"/>
    <w:rsid w:val="003B3C9C"/>
    <w:rsid w:val="003B48B4"/>
    <w:rsid w:val="003C0747"/>
    <w:rsid w:val="003C6C9C"/>
    <w:rsid w:val="003C7266"/>
    <w:rsid w:val="003D2078"/>
    <w:rsid w:val="003D3CAA"/>
    <w:rsid w:val="003D7011"/>
    <w:rsid w:val="003D7611"/>
    <w:rsid w:val="003E4DCA"/>
    <w:rsid w:val="003E5D4D"/>
    <w:rsid w:val="003E7C71"/>
    <w:rsid w:val="003F0713"/>
    <w:rsid w:val="003F2FA4"/>
    <w:rsid w:val="003F3B51"/>
    <w:rsid w:val="003F3D45"/>
    <w:rsid w:val="003F4953"/>
    <w:rsid w:val="003F6D98"/>
    <w:rsid w:val="003F7AF5"/>
    <w:rsid w:val="003F7D9E"/>
    <w:rsid w:val="003F7DB7"/>
    <w:rsid w:val="0040221E"/>
    <w:rsid w:val="0040595A"/>
    <w:rsid w:val="004072FA"/>
    <w:rsid w:val="004105A1"/>
    <w:rsid w:val="0041149D"/>
    <w:rsid w:val="00417C84"/>
    <w:rsid w:val="00420666"/>
    <w:rsid w:val="00421363"/>
    <w:rsid w:val="004245B0"/>
    <w:rsid w:val="0042695A"/>
    <w:rsid w:val="004300D4"/>
    <w:rsid w:val="004316F0"/>
    <w:rsid w:val="004365AD"/>
    <w:rsid w:val="00442FF2"/>
    <w:rsid w:val="004434F8"/>
    <w:rsid w:val="00452138"/>
    <w:rsid w:val="0045310F"/>
    <w:rsid w:val="004554CB"/>
    <w:rsid w:val="004601D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B35"/>
    <w:rsid w:val="004B5C33"/>
    <w:rsid w:val="004C265E"/>
    <w:rsid w:val="004C35B5"/>
    <w:rsid w:val="004D2FD8"/>
    <w:rsid w:val="004D6D1E"/>
    <w:rsid w:val="004E16BB"/>
    <w:rsid w:val="004E68CF"/>
    <w:rsid w:val="004F1264"/>
    <w:rsid w:val="004F5C57"/>
    <w:rsid w:val="004F6EE9"/>
    <w:rsid w:val="005005D7"/>
    <w:rsid w:val="00501FF0"/>
    <w:rsid w:val="005028D2"/>
    <w:rsid w:val="00503427"/>
    <w:rsid w:val="00515616"/>
    <w:rsid w:val="00516552"/>
    <w:rsid w:val="00533C8D"/>
    <w:rsid w:val="00535826"/>
    <w:rsid w:val="00536B4A"/>
    <w:rsid w:val="00537189"/>
    <w:rsid w:val="0053749D"/>
    <w:rsid w:val="00542E0F"/>
    <w:rsid w:val="00545957"/>
    <w:rsid w:val="00552278"/>
    <w:rsid w:val="00555BFC"/>
    <w:rsid w:val="00556923"/>
    <w:rsid w:val="005634B2"/>
    <w:rsid w:val="00575CB0"/>
    <w:rsid w:val="00580F0C"/>
    <w:rsid w:val="00582894"/>
    <w:rsid w:val="00586D6C"/>
    <w:rsid w:val="00591F23"/>
    <w:rsid w:val="00593550"/>
    <w:rsid w:val="0059371A"/>
    <w:rsid w:val="005B2018"/>
    <w:rsid w:val="005B35D7"/>
    <w:rsid w:val="005C0EA1"/>
    <w:rsid w:val="005C1201"/>
    <w:rsid w:val="005C3558"/>
    <w:rsid w:val="005C3E0E"/>
    <w:rsid w:val="005D72F7"/>
    <w:rsid w:val="005E0B76"/>
    <w:rsid w:val="005E2EE8"/>
    <w:rsid w:val="005F1EC7"/>
    <w:rsid w:val="005F3C51"/>
    <w:rsid w:val="005F626C"/>
    <w:rsid w:val="005F62D0"/>
    <w:rsid w:val="005F641E"/>
    <w:rsid w:val="005F7DC0"/>
    <w:rsid w:val="0060085B"/>
    <w:rsid w:val="00603B4B"/>
    <w:rsid w:val="00613E4C"/>
    <w:rsid w:val="00614AE9"/>
    <w:rsid w:val="006164B8"/>
    <w:rsid w:val="0062259D"/>
    <w:rsid w:val="00623016"/>
    <w:rsid w:val="00625241"/>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55565"/>
    <w:rsid w:val="0066145D"/>
    <w:rsid w:val="00661B3C"/>
    <w:rsid w:val="0066519D"/>
    <w:rsid w:val="00670E5E"/>
    <w:rsid w:val="006750CF"/>
    <w:rsid w:val="00677500"/>
    <w:rsid w:val="0068247E"/>
    <w:rsid w:val="00682804"/>
    <w:rsid w:val="0069153C"/>
    <w:rsid w:val="006917B2"/>
    <w:rsid w:val="00692095"/>
    <w:rsid w:val="00696FDD"/>
    <w:rsid w:val="006A5F84"/>
    <w:rsid w:val="006B0532"/>
    <w:rsid w:val="006B0AB1"/>
    <w:rsid w:val="006B3EAE"/>
    <w:rsid w:val="006B5B42"/>
    <w:rsid w:val="006C2F05"/>
    <w:rsid w:val="006C513D"/>
    <w:rsid w:val="006C7C65"/>
    <w:rsid w:val="006D3BA1"/>
    <w:rsid w:val="006D4CEC"/>
    <w:rsid w:val="006E1DB1"/>
    <w:rsid w:val="006E4A76"/>
    <w:rsid w:val="006E56FD"/>
    <w:rsid w:val="006E6880"/>
    <w:rsid w:val="006F210E"/>
    <w:rsid w:val="006F43E5"/>
    <w:rsid w:val="006F7CB5"/>
    <w:rsid w:val="00702131"/>
    <w:rsid w:val="00703425"/>
    <w:rsid w:val="0070619F"/>
    <w:rsid w:val="00710379"/>
    <w:rsid w:val="00711C72"/>
    <w:rsid w:val="0071243A"/>
    <w:rsid w:val="00715B35"/>
    <w:rsid w:val="0072253D"/>
    <w:rsid w:val="00723C11"/>
    <w:rsid w:val="00724D0C"/>
    <w:rsid w:val="007307A9"/>
    <w:rsid w:val="0073247B"/>
    <w:rsid w:val="0073450F"/>
    <w:rsid w:val="0073633B"/>
    <w:rsid w:val="00740F25"/>
    <w:rsid w:val="007423EF"/>
    <w:rsid w:val="0075384B"/>
    <w:rsid w:val="00754D2B"/>
    <w:rsid w:val="007563BB"/>
    <w:rsid w:val="007600CA"/>
    <w:rsid w:val="00760195"/>
    <w:rsid w:val="007625F7"/>
    <w:rsid w:val="007629E1"/>
    <w:rsid w:val="00763B1C"/>
    <w:rsid w:val="007666CD"/>
    <w:rsid w:val="00770B8E"/>
    <w:rsid w:val="00775749"/>
    <w:rsid w:val="00776BF7"/>
    <w:rsid w:val="00777E99"/>
    <w:rsid w:val="00785050"/>
    <w:rsid w:val="00787CA0"/>
    <w:rsid w:val="00792A1B"/>
    <w:rsid w:val="0079405A"/>
    <w:rsid w:val="007A0045"/>
    <w:rsid w:val="007A0144"/>
    <w:rsid w:val="007A01BB"/>
    <w:rsid w:val="007A0C47"/>
    <w:rsid w:val="007B15A3"/>
    <w:rsid w:val="007B65DB"/>
    <w:rsid w:val="007C0BDD"/>
    <w:rsid w:val="007C1656"/>
    <w:rsid w:val="007C6835"/>
    <w:rsid w:val="007C75E0"/>
    <w:rsid w:val="007D5FA2"/>
    <w:rsid w:val="007E0CD5"/>
    <w:rsid w:val="007E3D5F"/>
    <w:rsid w:val="007E597D"/>
    <w:rsid w:val="007F0023"/>
    <w:rsid w:val="007F1692"/>
    <w:rsid w:val="007F634B"/>
    <w:rsid w:val="007F661B"/>
    <w:rsid w:val="007F6802"/>
    <w:rsid w:val="00803383"/>
    <w:rsid w:val="00806CE0"/>
    <w:rsid w:val="00811427"/>
    <w:rsid w:val="00811F58"/>
    <w:rsid w:val="0081263E"/>
    <w:rsid w:val="0081418B"/>
    <w:rsid w:val="00814C3A"/>
    <w:rsid w:val="00815C27"/>
    <w:rsid w:val="008163FF"/>
    <w:rsid w:val="008227A5"/>
    <w:rsid w:val="00822E7E"/>
    <w:rsid w:val="008234E8"/>
    <w:rsid w:val="008272ED"/>
    <w:rsid w:val="00830ACF"/>
    <w:rsid w:val="00853F9D"/>
    <w:rsid w:val="0085667F"/>
    <w:rsid w:val="008617F3"/>
    <w:rsid w:val="008670ED"/>
    <w:rsid w:val="0086759F"/>
    <w:rsid w:val="00870FD6"/>
    <w:rsid w:val="008718AA"/>
    <w:rsid w:val="00872830"/>
    <w:rsid w:val="008757F2"/>
    <w:rsid w:val="008808CB"/>
    <w:rsid w:val="008847D1"/>
    <w:rsid w:val="00885882"/>
    <w:rsid w:val="008859E6"/>
    <w:rsid w:val="00891D12"/>
    <w:rsid w:val="00892CE9"/>
    <w:rsid w:val="008934F5"/>
    <w:rsid w:val="008A048D"/>
    <w:rsid w:val="008A2256"/>
    <w:rsid w:val="008A39B7"/>
    <w:rsid w:val="008B2A9C"/>
    <w:rsid w:val="008C14A7"/>
    <w:rsid w:val="008C4E79"/>
    <w:rsid w:val="008C5A40"/>
    <w:rsid w:val="008C5DAA"/>
    <w:rsid w:val="008C787A"/>
    <w:rsid w:val="008D26E1"/>
    <w:rsid w:val="008E3383"/>
    <w:rsid w:val="008E40E2"/>
    <w:rsid w:val="008E68DF"/>
    <w:rsid w:val="008E7470"/>
    <w:rsid w:val="008E7587"/>
    <w:rsid w:val="008F3866"/>
    <w:rsid w:val="008F3D27"/>
    <w:rsid w:val="008F5E42"/>
    <w:rsid w:val="009030B0"/>
    <w:rsid w:val="00905B55"/>
    <w:rsid w:val="009143FD"/>
    <w:rsid w:val="00917D02"/>
    <w:rsid w:val="00920A51"/>
    <w:rsid w:val="00920DBC"/>
    <w:rsid w:val="00922542"/>
    <w:rsid w:val="009251E3"/>
    <w:rsid w:val="0093582A"/>
    <w:rsid w:val="009423FB"/>
    <w:rsid w:val="00945E38"/>
    <w:rsid w:val="0094670B"/>
    <w:rsid w:val="00947FC3"/>
    <w:rsid w:val="00950813"/>
    <w:rsid w:val="009514EC"/>
    <w:rsid w:val="00961615"/>
    <w:rsid w:val="00980A42"/>
    <w:rsid w:val="009976B3"/>
    <w:rsid w:val="009A3792"/>
    <w:rsid w:val="009A3A53"/>
    <w:rsid w:val="009A538A"/>
    <w:rsid w:val="009A6F00"/>
    <w:rsid w:val="009B0CF1"/>
    <w:rsid w:val="009B1558"/>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A039CA"/>
    <w:rsid w:val="00A04FBF"/>
    <w:rsid w:val="00A05DCA"/>
    <w:rsid w:val="00A068EC"/>
    <w:rsid w:val="00A11F12"/>
    <w:rsid w:val="00A139A6"/>
    <w:rsid w:val="00A1431F"/>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07CC"/>
    <w:rsid w:val="00A721A0"/>
    <w:rsid w:val="00A75650"/>
    <w:rsid w:val="00A77708"/>
    <w:rsid w:val="00A826AD"/>
    <w:rsid w:val="00A8413B"/>
    <w:rsid w:val="00A845B1"/>
    <w:rsid w:val="00A90875"/>
    <w:rsid w:val="00A9509F"/>
    <w:rsid w:val="00AA24A4"/>
    <w:rsid w:val="00AA4766"/>
    <w:rsid w:val="00AB26E0"/>
    <w:rsid w:val="00AB29A9"/>
    <w:rsid w:val="00AB3AB0"/>
    <w:rsid w:val="00AB4AF4"/>
    <w:rsid w:val="00AB5A11"/>
    <w:rsid w:val="00AB5ED5"/>
    <w:rsid w:val="00AB66A5"/>
    <w:rsid w:val="00AC07D4"/>
    <w:rsid w:val="00AC2621"/>
    <w:rsid w:val="00AC67B2"/>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0FBD"/>
    <w:rsid w:val="00B3168E"/>
    <w:rsid w:val="00B3411B"/>
    <w:rsid w:val="00B443C3"/>
    <w:rsid w:val="00B4454C"/>
    <w:rsid w:val="00B44B08"/>
    <w:rsid w:val="00B44DC5"/>
    <w:rsid w:val="00B4644C"/>
    <w:rsid w:val="00B4772C"/>
    <w:rsid w:val="00B50CF5"/>
    <w:rsid w:val="00B51209"/>
    <w:rsid w:val="00B525A7"/>
    <w:rsid w:val="00B569B1"/>
    <w:rsid w:val="00B60082"/>
    <w:rsid w:val="00B61CED"/>
    <w:rsid w:val="00B63280"/>
    <w:rsid w:val="00B70C0E"/>
    <w:rsid w:val="00B72DD0"/>
    <w:rsid w:val="00B7329A"/>
    <w:rsid w:val="00B76124"/>
    <w:rsid w:val="00B80DE8"/>
    <w:rsid w:val="00B8161D"/>
    <w:rsid w:val="00B84EBC"/>
    <w:rsid w:val="00B86755"/>
    <w:rsid w:val="00B90C14"/>
    <w:rsid w:val="00B9195F"/>
    <w:rsid w:val="00B93930"/>
    <w:rsid w:val="00B965CD"/>
    <w:rsid w:val="00B9691D"/>
    <w:rsid w:val="00B96E4B"/>
    <w:rsid w:val="00B96F5E"/>
    <w:rsid w:val="00B97B6F"/>
    <w:rsid w:val="00BA204C"/>
    <w:rsid w:val="00BA5852"/>
    <w:rsid w:val="00BA70CB"/>
    <w:rsid w:val="00BB0001"/>
    <w:rsid w:val="00BB2075"/>
    <w:rsid w:val="00BB2CCE"/>
    <w:rsid w:val="00BB51C8"/>
    <w:rsid w:val="00BB56D3"/>
    <w:rsid w:val="00BB65D4"/>
    <w:rsid w:val="00BB6CB4"/>
    <w:rsid w:val="00BB779B"/>
    <w:rsid w:val="00BC112C"/>
    <w:rsid w:val="00BC163B"/>
    <w:rsid w:val="00BC230A"/>
    <w:rsid w:val="00BC2F6B"/>
    <w:rsid w:val="00BC3064"/>
    <w:rsid w:val="00BC3B75"/>
    <w:rsid w:val="00BC46F2"/>
    <w:rsid w:val="00BC5571"/>
    <w:rsid w:val="00BC6222"/>
    <w:rsid w:val="00BD201F"/>
    <w:rsid w:val="00BD2FEA"/>
    <w:rsid w:val="00BD3371"/>
    <w:rsid w:val="00BE34FF"/>
    <w:rsid w:val="00BE3AD8"/>
    <w:rsid w:val="00BE5AFA"/>
    <w:rsid w:val="00BF1A9A"/>
    <w:rsid w:val="00C0329C"/>
    <w:rsid w:val="00C07667"/>
    <w:rsid w:val="00C12AF0"/>
    <w:rsid w:val="00C13C29"/>
    <w:rsid w:val="00C17310"/>
    <w:rsid w:val="00C24AB5"/>
    <w:rsid w:val="00C255E8"/>
    <w:rsid w:val="00C302E1"/>
    <w:rsid w:val="00C32277"/>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5CCE"/>
    <w:rsid w:val="00C778A1"/>
    <w:rsid w:val="00C80299"/>
    <w:rsid w:val="00C81B22"/>
    <w:rsid w:val="00C8328B"/>
    <w:rsid w:val="00C85C8A"/>
    <w:rsid w:val="00C85F4A"/>
    <w:rsid w:val="00C86724"/>
    <w:rsid w:val="00C87F4C"/>
    <w:rsid w:val="00C92434"/>
    <w:rsid w:val="00C976DE"/>
    <w:rsid w:val="00CA0FCF"/>
    <w:rsid w:val="00CA1354"/>
    <w:rsid w:val="00CA618A"/>
    <w:rsid w:val="00CA6C68"/>
    <w:rsid w:val="00CA7FAB"/>
    <w:rsid w:val="00CB3E27"/>
    <w:rsid w:val="00CB4E1D"/>
    <w:rsid w:val="00CC7DE2"/>
    <w:rsid w:val="00CD7F25"/>
    <w:rsid w:val="00CE16A1"/>
    <w:rsid w:val="00CE74A1"/>
    <w:rsid w:val="00CF2D8C"/>
    <w:rsid w:val="00CF2DE2"/>
    <w:rsid w:val="00CF30C4"/>
    <w:rsid w:val="00CF48EA"/>
    <w:rsid w:val="00CF63C2"/>
    <w:rsid w:val="00CF6CFA"/>
    <w:rsid w:val="00D00E91"/>
    <w:rsid w:val="00D02E23"/>
    <w:rsid w:val="00D03108"/>
    <w:rsid w:val="00D036F1"/>
    <w:rsid w:val="00D07A31"/>
    <w:rsid w:val="00D1398A"/>
    <w:rsid w:val="00D16ADA"/>
    <w:rsid w:val="00D17EE8"/>
    <w:rsid w:val="00D21056"/>
    <w:rsid w:val="00D2308C"/>
    <w:rsid w:val="00D243E7"/>
    <w:rsid w:val="00D24469"/>
    <w:rsid w:val="00D24893"/>
    <w:rsid w:val="00D312D2"/>
    <w:rsid w:val="00D33BE3"/>
    <w:rsid w:val="00D376E6"/>
    <w:rsid w:val="00D43612"/>
    <w:rsid w:val="00D44362"/>
    <w:rsid w:val="00D4697C"/>
    <w:rsid w:val="00D47CE0"/>
    <w:rsid w:val="00D52CBF"/>
    <w:rsid w:val="00D576CA"/>
    <w:rsid w:val="00D607E0"/>
    <w:rsid w:val="00D62067"/>
    <w:rsid w:val="00D662AA"/>
    <w:rsid w:val="00D6653E"/>
    <w:rsid w:val="00D66F04"/>
    <w:rsid w:val="00D678AC"/>
    <w:rsid w:val="00D71AF3"/>
    <w:rsid w:val="00D72793"/>
    <w:rsid w:val="00D735D6"/>
    <w:rsid w:val="00D73E36"/>
    <w:rsid w:val="00D75213"/>
    <w:rsid w:val="00D83D1B"/>
    <w:rsid w:val="00D8732D"/>
    <w:rsid w:val="00D90043"/>
    <w:rsid w:val="00D92BA6"/>
    <w:rsid w:val="00D92FC8"/>
    <w:rsid w:val="00D93F90"/>
    <w:rsid w:val="00D950BA"/>
    <w:rsid w:val="00D95A43"/>
    <w:rsid w:val="00D979C6"/>
    <w:rsid w:val="00DA4AB8"/>
    <w:rsid w:val="00DA4D57"/>
    <w:rsid w:val="00DB02BF"/>
    <w:rsid w:val="00DB07E6"/>
    <w:rsid w:val="00DB5F3B"/>
    <w:rsid w:val="00DC50E2"/>
    <w:rsid w:val="00DC54A0"/>
    <w:rsid w:val="00DC6C9C"/>
    <w:rsid w:val="00DC7EB2"/>
    <w:rsid w:val="00DD005F"/>
    <w:rsid w:val="00DD0624"/>
    <w:rsid w:val="00DD13B0"/>
    <w:rsid w:val="00DD6678"/>
    <w:rsid w:val="00DE13B8"/>
    <w:rsid w:val="00DE19B1"/>
    <w:rsid w:val="00DE378C"/>
    <w:rsid w:val="00DE5C6D"/>
    <w:rsid w:val="00DE7055"/>
    <w:rsid w:val="00DE71AB"/>
    <w:rsid w:val="00DF25C5"/>
    <w:rsid w:val="00DF2FF3"/>
    <w:rsid w:val="00DF589E"/>
    <w:rsid w:val="00DF68E1"/>
    <w:rsid w:val="00DF7145"/>
    <w:rsid w:val="00DF7327"/>
    <w:rsid w:val="00DF7A40"/>
    <w:rsid w:val="00E0295D"/>
    <w:rsid w:val="00E034FB"/>
    <w:rsid w:val="00E10B1C"/>
    <w:rsid w:val="00E111AC"/>
    <w:rsid w:val="00E13CDE"/>
    <w:rsid w:val="00E14817"/>
    <w:rsid w:val="00E168E3"/>
    <w:rsid w:val="00E203EF"/>
    <w:rsid w:val="00E213A7"/>
    <w:rsid w:val="00E215DF"/>
    <w:rsid w:val="00E2190B"/>
    <w:rsid w:val="00E2682A"/>
    <w:rsid w:val="00E27678"/>
    <w:rsid w:val="00E3200D"/>
    <w:rsid w:val="00E328D9"/>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A1ADC"/>
    <w:rsid w:val="00EA23A7"/>
    <w:rsid w:val="00EA5F1F"/>
    <w:rsid w:val="00EA75C1"/>
    <w:rsid w:val="00EB295F"/>
    <w:rsid w:val="00EB3B91"/>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0763"/>
    <w:rsid w:val="00F25C38"/>
    <w:rsid w:val="00F32AAB"/>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A7BA5"/>
    <w:rsid w:val="00FB1FCF"/>
    <w:rsid w:val="00FB2706"/>
    <w:rsid w:val="00FB3374"/>
    <w:rsid w:val="00FB61D1"/>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0E5C7"/>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95F"/>
    <w:pPr>
      <w:spacing w:before="120" w:after="120"/>
    </w:pPr>
    <w:rPr>
      <w:rFonts w:ascii="Arial" w:hAnsi="Arial"/>
      <w:snapToGrid w:val="0"/>
      <w:lang w:val="en-GB"/>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rPr>
  </w:style>
  <w:style w:type="character" w:styleId="UnresolvedMention">
    <w:name w:val="Unresolved Mention"/>
    <w:uiPriority w:val="99"/>
    <w:semiHidden/>
    <w:unhideWhenUsed/>
    <w:rsid w:val="0031457C"/>
    <w:rPr>
      <w:color w:val="605E5C"/>
      <w:shd w:val="clear" w:color="auto" w:fill="E1DFDD"/>
    </w:rPr>
  </w:style>
  <w:style w:type="paragraph" w:customStyle="1" w:styleId="paragraph">
    <w:name w:val="paragraph"/>
    <w:basedOn w:val="Normal"/>
    <w:rsid w:val="00177317"/>
    <w:pPr>
      <w:spacing w:before="100" w:beforeAutospacing="1" w:after="100" w:afterAutospacing="1"/>
    </w:pPr>
    <w:rPr>
      <w:rFonts w:ascii="Times New Roman" w:hAnsi="Times New Roman"/>
      <w:snapToGrid/>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464741030">
      <w:bodyDiv w:val="1"/>
      <w:marLeft w:val="0"/>
      <w:marRight w:val="0"/>
      <w:marTop w:val="0"/>
      <w:marBottom w:val="0"/>
      <w:divBdr>
        <w:top w:val="none" w:sz="0" w:space="0" w:color="auto"/>
        <w:left w:val="none" w:sz="0" w:space="0" w:color="auto"/>
        <w:bottom w:val="none" w:sz="0" w:space="0" w:color="auto"/>
        <w:right w:val="none" w:sz="0" w:space="0" w:color="auto"/>
      </w:divBdr>
    </w:div>
    <w:div w:id="632370065">
      <w:bodyDiv w:val="1"/>
      <w:marLeft w:val="0"/>
      <w:marRight w:val="0"/>
      <w:marTop w:val="0"/>
      <w:marBottom w:val="0"/>
      <w:divBdr>
        <w:top w:val="none" w:sz="0" w:space="0" w:color="auto"/>
        <w:left w:val="none" w:sz="0" w:space="0" w:color="auto"/>
        <w:bottom w:val="none" w:sz="0" w:space="0" w:color="auto"/>
        <w:right w:val="none" w:sz="0" w:space="0" w:color="auto"/>
      </w:divBdr>
    </w:div>
    <w:div w:id="921794651">
      <w:bodyDiv w:val="1"/>
      <w:marLeft w:val="0"/>
      <w:marRight w:val="0"/>
      <w:marTop w:val="0"/>
      <w:marBottom w:val="0"/>
      <w:divBdr>
        <w:top w:val="none" w:sz="0" w:space="0" w:color="auto"/>
        <w:left w:val="none" w:sz="0" w:space="0" w:color="auto"/>
        <w:bottom w:val="none" w:sz="0" w:space="0" w:color="auto"/>
        <w:right w:val="none" w:sz="0" w:space="0" w:color="auto"/>
      </w:divBdr>
    </w:div>
    <w:div w:id="1071998272">
      <w:bodyDiv w:val="1"/>
      <w:marLeft w:val="0"/>
      <w:marRight w:val="0"/>
      <w:marTop w:val="0"/>
      <w:marBottom w:val="0"/>
      <w:divBdr>
        <w:top w:val="none" w:sz="0" w:space="0" w:color="auto"/>
        <w:left w:val="none" w:sz="0" w:space="0" w:color="auto"/>
        <w:bottom w:val="none" w:sz="0" w:space="0" w:color="auto"/>
        <w:right w:val="none" w:sz="0" w:space="0" w:color="auto"/>
      </w:divBdr>
    </w:div>
    <w:div w:id="1161894175">
      <w:bodyDiv w:val="1"/>
      <w:marLeft w:val="0"/>
      <w:marRight w:val="0"/>
      <w:marTop w:val="0"/>
      <w:marBottom w:val="0"/>
      <w:divBdr>
        <w:top w:val="none" w:sz="0" w:space="0" w:color="auto"/>
        <w:left w:val="none" w:sz="0" w:space="0" w:color="auto"/>
        <w:bottom w:val="none" w:sz="0" w:space="0" w:color="auto"/>
        <w:right w:val="none" w:sz="0" w:space="0" w:color="auto"/>
      </w:divBdr>
    </w:div>
    <w:div w:id="1175151371">
      <w:bodyDiv w:val="1"/>
      <w:marLeft w:val="0"/>
      <w:marRight w:val="0"/>
      <w:marTop w:val="0"/>
      <w:marBottom w:val="0"/>
      <w:divBdr>
        <w:top w:val="none" w:sz="0" w:space="0" w:color="auto"/>
        <w:left w:val="none" w:sz="0" w:space="0" w:color="auto"/>
        <w:bottom w:val="none" w:sz="0" w:space="0" w:color="auto"/>
        <w:right w:val="none" w:sz="0" w:space="0" w:color="auto"/>
      </w:divBdr>
    </w:div>
    <w:div w:id="151500175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697541102">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jupco.sosolovski@ugd.edu.mk"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0623-22CD-41DF-B2D2-7F845246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14</Pages>
  <Words>5604</Words>
  <Characters>31944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37474</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Ljupco Sosolovski</cp:lastModifiedBy>
  <cp:revision>131</cp:revision>
  <cp:lastPrinted>2018-04-13T13:21:00Z</cp:lastPrinted>
  <dcterms:created xsi:type="dcterms:W3CDTF">2018-12-18T11:39:00Z</dcterms:created>
  <dcterms:modified xsi:type="dcterms:W3CDTF">2022-09-26T20:18:00Z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